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39F7" w:rsidRPr="00B939F7" w:rsidRDefault="00B939F7" w:rsidP="00B939F7">
      <w:pPr>
        <w:spacing w:after="0" w:line="360" w:lineRule="auto"/>
        <w:jc w:val="center"/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</w:pPr>
      <w:r w:rsidRPr="00B939F7"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  <w:t xml:space="preserve">ПОЯСНИТЕЛЬНАЯ ЗАПИСКА </w:t>
      </w:r>
    </w:p>
    <w:p w:rsidR="00B939F7" w:rsidRPr="00B939F7" w:rsidRDefault="00B939F7" w:rsidP="00B939F7">
      <w:pPr>
        <w:spacing w:after="0" w:line="240" w:lineRule="auto"/>
        <w:ind w:left="-567" w:right="-38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  <w:t>к проекту Решения Псковской городской Думы «О продлении срока ликвидации муниципального предприятия г. Пскова «</w:t>
      </w:r>
      <w:proofErr w:type="spellStart"/>
      <w:r w:rsidRPr="00B939F7"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  <w:t>Псковархитектура</w:t>
      </w:r>
      <w:proofErr w:type="spellEnd"/>
      <w:r w:rsidRPr="00B939F7"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  <w:t>»</w:t>
      </w:r>
    </w:p>
    <w:p w:rsidR="00B939F7" w:rsidRPr="00B939F7" w:rsidRDefault="00B939F7" w:rsidP="00B939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F7" w:rsidRPr="00B939F7" w:rsidRDefault="00B939F7" w:rsidP="00B939F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F7" w:rsidRPr="00B939F7" w:rsidRDefault="00B939F7" w:rsidP="00B939F7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F7" w:rsidRPr="00B939F7" w:rsidRDefault="00B939F7" w:rsidP="00B939F7">
      <w:pPr>
        <w:spacing w:after="0" w:line="240" w:lineRule="auto"/>
        <w:ind w:left="-567" w:right="-38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Решением Псковской городской Думы от 27.02.2013 №455 «О ликвидации муниципального предприятия г. Пскова «</w:t>
      </w:r>
      <w:proofErr w:type="spellStart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Псковархитектура</w:t>
      </w:r>
      <w:proofErr w:type="spellEnd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» и создании ликвидационной комиссии» установлен срок ликвидации предприятия 6 месяцев.</w:t>
      </w:r>
    </w:p>
    <w:p w:rsidR="00B939F7" w:rsidRPr="00B939F7" w:rsidRDefault="00B939F7" w:rsidP="00B939F7">
      <w:pPr>
        <w:spacing w:after="0" w:line="240" w:lineRule="auto"/>
        <w:ind w:left="-567" w:right="-38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ликвидации не выдержан. Это связано с тем, что председателем ликвидационной комиссии </w:t>
      </w:r>
      <w:proofErr w:type="spellStart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Лисенковой</w:t>
      </w:r>
      <w:proofErr w:type="spellEnd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М.А. нарушен порядок ликвидации предприятия и вместе с тем, не принимались меры по взысканию дебиторской задолженности и погашению кредиторской задолженности муниципального предприятия.</w:t>
      </w:r>
    </w:p>
    <w:p w:rsidR="00B939F7" w:rsidRPr="00B939F7" w:rsidRDefault="00B939F7" w:rsidP="00B939F7">
      <w:pPr>
        <w:spacing w:after="0" w:line="240" w:lineRule="auto"/>
        <w:ind w:right="-38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06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410"/>
        <w:gridCol w:w="2268"/>
        <w:gridCol w:w="2693"/>
      </w:tblGrid>
      <w:tr w:rsidR="00B939F7" w:rsidRPr="00B939F7" w:rsidTr="00E83AB9">
        <w:tc>
          <w:tcPr>
            <w:tcW w:w="10206" w:type="dxa"/>
            <w:gridSpan w:val="4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Мероприятия по ликвидации муниципального предприятия г. Пскова «</w:t>
            </w:r>
            <w:proofErr w:type="spellStart"/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Псковархитектура</w:t>
            </w:r>
            <w:proofErr w:type="spellEnd"/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 осуществляемые председателем ликвидационной комиссии за период с 30.04.2013 по настоящее время: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Мероприятия по ликвидации</w:t>
            </w:r>
          </w:p>
        </w:tc>
        <w:tc>
          <w:tcPr>
            <w:tcW w:w="2410" w:type="dxa"/>
            <w:tcBorders>
              <w:top w:val="nil"/>
            </w:tcBorders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Муниципальный правовой акт, распорядительный документ и пр.</w:t>
            </w:r>
          </w:p>
        </w:tc>
        <w:tc>
          <w:tcPr>
            <w:tcW w:w="2268" w:type="dxa"/>
            <w:tcBorders>
              <w:top w:val="nil"/>
            </w:tcBorders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Дата проведения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Примечание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Создание ликвидационной комиссии муниципального предприятия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Постановление Администрации города Пскова от 23.04.2013 №949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23.04.2013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62 Гражданского кодекса РФ</w:t>
            </w:r>
            <w:r w:rsidRPr="00B939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момента назначения ликвидационной комиссии к ней переходят полномочия по управлению делами юридического лица. 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работников о предстоящем сокращении в связи с ликвидацией муниципального предприятия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Уведомления о предстоящем увольнении от 30.04.2013.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30.04.2013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81 трудового кодекса РФ работодатель обязан письменно предупредить работников о предстоящем увольнении не позднее, чем за 2 месяца до этого.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ИФНС России №1 по Псковской области о начале процедуры ликвидации муниципального предприятия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Свидетельства сер. 60 №001113419, сер. 60 №001113420.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27.05.2013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нормативный срок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26.04.2013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Срок уведомления налоговых органов нарушен. Подача заявления должна быть осуществлена 26.04.2013. 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уведомления регистрирующего органа нарушен. Уведомление должно </w:t>
            </w: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быть осуществлено в течение 3-х рабочих дней. 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</w:t>
            </w:r>
            <w:proofErr w:type="gramStart"/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т. 20 ФЗ от 08.08.2001 №129) 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Подача объявления о ликвидации муниципального предприятия в журнал «Вестник государственной регистрации»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Заявление о публикации от 10.07.2013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24.07.2013 публикация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нормативный срок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13.05.2013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подачи заявления о публикации объявления нарушен. Заявления о публикации должно быть подано 13.05.2013.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24.07.2013 в течение 2-х месяцев принимаются требования кредиторов. Срок окончания предъявления требований 24.09.2013.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Уведомление о ликвидации муниципального предприятия государственных учреждений социального страхования, пенсионного фонда, службы занятости населения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нормативный срок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lang w:eastAsia="ru-RU"/>
              </w:rPr>
              <w:t>13.05.2013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Сведения об уведомлении отсутствует 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Увольнение работников в связи с ликвидацией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Приказ от 01.07.2013 №34 о расторжении трудовых договоров с работниками с 01.07.2013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01.07.2013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мероприятий по ликвидации муниципального предприятия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разработан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получению дебиторской задолженности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проводились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Инвентаризация имущества и финансовых обязательств муниципального предприятия 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16.08.2013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проведена инвентаризация имущества;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28.08.2013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проведена </w:t>
            </w: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инвентаризация финансовых обязательств 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Инвентаризация проведена с нарушени</w:t>
            </w:r>
            <w:bookmarkStart w:id="0" w:name="_GoBack"/>
            <w:bookmarkEnd w:id="0"/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ем установленного порядка.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со ст. 11 ФЗ от 06.12.2011 </w:t>
            </w: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№402, Методическими указаниями по инвентаризации имущества и финансовых обязательств, утв. Приказом Министерства Финансов России от 13.06.1995 №45 инвентаризация имущества и финансовых обязательств, проводится перед составлением промежуточного ликвидационного баланса.   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Составление промежуточного  ликвидационного баланса, содержащего сведения о составе имущества ликвидируемого муниципального предприятия, перечня предъявленных кредиторами требований, а также результатах их рассмотрения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составлялся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ст. 63 Гражданского кодекса РФ промежуточный ликвидационный баланс составляется после окончания срока для предъявления требований кредиторами. </w:t>
            </w:r>
          </w:p>
        </w:tc>
      </w:tr>
      <w:tr w:rsidR="00B939F7" w:rsidRPr="00B939F7" w:rsidTr="00E83AB9"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Характеристика активов, подлежащих реализации с целью погашения кредиторской задолженности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Заключен договор на проведение оценки от 29.08.2013             №170-оц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имущества не осуществлялась</w:t>
            </w: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ст. 63 Гражданского кодекса </w:t>
            </w:r>
            <w:proofErr w:type="gramStart"/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РФ</w:t>
            </w:r>
            <w:proofErr w:type="gramEnd"/>
            <w:r w:rsidRPr="00B939F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если имеющиеся у ликвидируемого юридического лица денежные средства недостаточны для удовлетворения требований кредиторов, ликвидационная комиссия осуществляет продажу имущества юридического лица с публичных торгов.  </w:t>
            </w:r>
          </w:p>
        </w:tc>
      </w:tr>
      <w:tr w:rsidR="00B939F7" w:rsidRPr="00B939F7" w:rsidTr="00E83AB9">
        <w:trPr>
          <w:trHeight w:val="1107"/>
        </w:trPr>
        <w:tc>
          <w:tcPr>
            <w:tcW w:w="2835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Завершение расчетов с кредиторами и составление ликвидационного баланса муниципального предприятия</w:t>
            </w:r>
          </w:p>
        </w:tc>
        <w:tc>
          <w:tcPr>
            <w:tcW w:w="2410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268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2693" w:type="dxa"/>
            <w:shd w:val="clear" w:color="auto" w:fill="auto"/>
          </w:tcPr>
          <w:p w:rsidR="00B939F7" w:rsidRPr="00B939F7" w:rsidRDefault="00B939F7" w:rsidP="00B939F7">
            <w:pPr>
              <w:tabs>
                <w:tab w:val="left" w:pos="993"/>
                <w:tab w:val="left" w:pos="1134"/>
              </w:tabs>
              <w:spacing w:after="0" w:line="240" w:lineRule="auto"/>
              <w:ind w:right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939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производилось</w:t>
            </w:r>
          </w:p>
        </w:tc>
      </w:tr>
    </w:tbl>
    <w:p w:rsidR="00B939F7" w:rsidRPr="00B939F7" w:rsidRDefault="00B939F7" w:rsidP="00B939F7">
      <w:pPr>
        <w:spacing w:after="0" w:line="240" w:lineRule="auto"/>
        <w:ind w:right="-383" w:firstLine="28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F7" w:rsidRPr="00B939F7" w:rsidRDefault="00B939F7" w:rsidP="00B939F7">
      <w:pPr>
        <w:spacing w:after="0" w:line="240" w:lineRule="auto"/>
        <w:ind w:left="-426" w:right="-6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инвентаризации имущества муниципального предприятия            г. Пскова «</w:t>
      </w:r>
      <w:proofErr w:type="spellStart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Псковархитектура</w:t>
      </w:r>
      <w:proofErr w:type="spellEnd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балансовая стоимость движимого имущества по состоянию на 16.08.2013 составляет 529308,84 рублей, из которой имущество на сумму  212326,35 рублей отсутствует (тахеометр </w:t>
      </w:r>
      <w:r w:rsidRPr="00B939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CET</w:t>
      </w: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630</w:t>
      </w:r>
      <w:r w:rsidRPr="00B939F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R</w:t>
      </w: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украден, уголовное производство по факту хищения возбуждено не было, в связи с тем, что предприятие, не обращалось в правоохранительные органы).</w:t>
      </w:r>
      <w:proofErr w:type="gramEnd"/>
    </w:p>
    <w:p w:rsidR="00B939F7" w:rsidRPr="00B939F7" w:rsidRDefault="00B939F7" w:rsidP="00B939F7">
      <w:pPr>
        <w:spacing w:after="0" w:line="240" w:lineRule="auto"/>
        <w:ind w:left="-426" w:right="-6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По результатам инвентаризации финансовых обязательств муниципального предприятия «</w:t>
      </w:r>
      <w:proofErr w:type="spellStart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Псковархитектура</w:t>
      </w:r>
      <w:proofErr w:type="spellEnd"/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» по состоянию на 28.08.2013 по данным бухгалтерского учета:</w:t>
      </w:r>
    </w:p>
    <w:p w:rsidR="00B939F7" w:rsidRPr="00B939F7" w:rsidRDefault="00B939F7" w:rsidP="00B939F7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-426" w:right="-6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дебиторская задолженность предприятия составляет 2 428 844,72 рублей, из которой 1996167,93 рублей хищение денежных средств совершенное главным бухгалтером предприятия Мазуриной Е.В.;</w:t>
      </w:r>
    </w:p>
    <w:p w:rsidR="00B939F7" w:rsidRPr="00B939F7" w:rsidRDefault="00B939F7" w:rsidP="00B939F7">
      <w:pPr>
        <w:numPr>
          <w:ilvl w:val="0"/>
          <w:numId w:val="1"/>
        </w:numPr>
        <w:tabs>
          <w:tab w:val="left" w:pos="567"/>
        </w:tabs>
        <w:spacing w:after="0" w:line="240" w:lineRule="auto"/>
        <w:ind w:left="-426" w:right="-6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кредиторская задолженность предприятия составляет 2 471 174,69 рублей.</w:t>
      </w:r>
    </w:p>
    <w:p w:rsidR="00B939F7" w:rsidRPr="00B939F7" w:rsidRDefault="00B939F7" w:rsidP="00B939F7">
      <w:pPr>
        <w:tabs>
          <w:tab w:val="left" w:pos="567"/>
        </w:tabs>
        <w:spacing w:after="0" w:line="240" w:lineRule="auto"/>
        <w:ind w:left="-426" w:right="-666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вышеизложенного, считаем целесообразным продлить срок ликвидации на 6 месяцев, с целью проведения необходимых процедур по ликвидации данного муниципального предприятия (смена  председателя ликвидационной комиссии, составление промежуточного ликвидационного баланса и пр.).</w:t>
      </w:r>
    </w:p>
    <w:p w:rsidR="00B939F7" w:rsidRPr="00B939F7" w:rsidRDefault="00B939F7" w:rsidP="00B939F7">
      <w:pPr>
        <w:spacing w:after="0" w:line="240" w:lineRule="auto"/>
        <w:ind w:left="-426" w:right="-666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Принятие настоящего Решения не требует изменений и дополнений правовых актов. </w:t>
      </w:r>
    </w:p>
    <w:p w:rsidR="00B939F7" w:rsidRPr="00B939F7" w:rsidRDefault="00B939F7" w:rsidP="00B939F7">
      <w:pPr>
        <w:spacing w:after="0" w:line="240" w:lineRule="auto"/>
        <w:ind w:left="-426" w:right="-666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939F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Решения Псковской городской Думы подготовлен в отделе по работе с муниципальными предприятиями и учреждениями Комитета по управлению муниципальным имуществом города Пскова.</w:t>
      </w:r>
    </w:p>
    <w:p w:rsidR="00B939F7" w:rsidRPr="00B939F7" w:rsidRDefault="00B939F7" w:rsidP="00B939F7">
      <w:pPr>
        <w:spacing w:after="0" w:line="240" w:lineRule="auto"/>
        <w:ind w:right="-383"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F7" w:rsidRPr="00B939F7" w:rsidRDefault="00B939F7" w:rsidP="00B939F7">
      <w:pPr>
        <w:spacing w:after="0" w:line="240" w:lineRule="auto"/>
        <w:ind w:right="-383" w:firstLine="85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939F7" w:rsidRPr="00B939F7" w:rsidRDefault="00B939F7" w:rsidP="00B939F7">
      <w:pPr>
        <w:spacing w:after="0" w:line="240" w:lineRule="auto"/>
        <w:ind w:left="-426" w:right="-666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</w:pPr>
      <w:r w:rsidRPr="00B939F7"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  <w:t>Председатель Комитета по управлению</w:t>
      </w:r>
    </w:p>
    <w:p w:rsidR="00B939F7" w:rsidRPr="00B939F7" w:rsidRDefault="00B939F7" w:rsidP="00B939F7">
      <w:pPr>
        <w:spacing w:after="0" w:line="240" w:lineRule="auto"/>
        <w:ind w:left="-426" w:right="-666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</w:pPr>
      <w:r w:rsidRPr="00B939F7"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  <w:t xml:space="preserve">муниципальным имуществом города Пскова                                         </w:t>
      </w:r>
      <w:proofErr w:type="spellStart"/>
      <w:r w:rsidRPr="00B939F7"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  <w:t>Л.О.Морозова</w:t>
      </w:r>
      <w:proofErr w:type="spellEnd"/>
    </w:p>
    <w:p w:rsidR="00B939F7" w:rsidRPr="00B939F7" w:rsidRDefault="00B939F7" w:rsidP="00B939F7">
      <w:pPr>
        <w:spacing w:after="0" w:line="240" w:lineRule="auto"/>
        <w:ind w:left="-426" w:right="-666"/>
        <w:jc w:val="both"/>
        <w:rPr>
          <w:rFonts w:ascii="Times New Roman" w:eastAsia="Times New Roman" w:hAnsi="Times New Roman" w:cs="Times New Roman"/>
          <w:kern w:val="2"/>
          <w:sz w:val="28"/>
          <w:szCs w:val="20"/>
          <w:lang w:eastAsia="ru-RU"/>
        </w:rPr>
      </w:pPr>
    </w:p>
    <w:p w:rsidR="006A0A77" w:rsidRDefault="006A0A77"/>
    <w:sectPr w:rsidR="006A0A77" w:rsidSect="00D30C3E">
      <w:pgSz w:w="11906" w:h="16838"/>
      <w:pgMar w:top="426" w:right="1133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0F5871"/>
    <w:multiLevelType w:val="hybridMultilevel"/>
    <w:tmpl w:val="6E02C4F8"/>
    <w:lvl w:ilvl="0" w:tplc="A7641AAA">
      <w:start w:val="1"/>
      <w:numFmt w:val="bullet"/>
      <w:lvlText w:val=""/>
      <w:lvlJc w:val="left"/>
      <w:pPr>
        <w:ind w:left="86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06B5"/>
    <w:rsid w:val="006A0A77"/>
    <w:rsid w:val="00B939F7"/>
    <w:rsid w:val="00D206B5"/>
    <w:rsid w:val="00DE4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B939F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 Знак"/>
    <w:basedOn w:val="a"/>
    <w:rsid w:val="00B939F7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889</Words>
  <Characters>5070</Characters>
  <Application>Microsoft Office Word</Application>
  <DocSecurity>0</DocSecurity>
  <Lines>42</Lines>
  <Paragraphs>11</Paragraphs>
  <ScaleCrop>false</ScaleCrop>
  <Company/>
  <LinksUpToDate>false</LinksUpToDate>
  <CharactersWithSpaces>5948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3</cp:revision>
  <dcterms:created xsi:type="dcterms:W3CDTF">2013-09-10T10:24:00Z</dcterms:created>
  <dcterms:modified xsi:type="dcterms:W3CDTF">2013-09-10T10:25:00Z</dcterms:modified>
</cp:coreProperties>
</file>