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D5" w:rsidRPr="00B62DD5" w:rsidRDefault="00824967" w:rsidP="00B62DD5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B62DD5">
        <w:rPr>
          <w:sz w:val="24"/>
          <w:szCs w:val="24"/>
        </w:rPr>
        <w:t xml:space="preserve">                   </w:t>
      </w:r>
      <w:r w:rsidR="00B62DD5" w:rsidRPr="00B62DD5">
        <w:rPr>
          <w:sz w:val="24"/>
          <w:szCs w:val="24"/>
        </w:rPr>
        <w:t>РЕШЕНИЕ</w:t>
      </w:r>
    </w:p>
    <w:p w:rsidR="00B62DD5" w:rsidRPr="00B62DD5" w:rsidRDefault="00B62DD5" w:rsidP="00B62DD5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62DD5" w:rsidRPr="00B62DD5" w:rsidRDefault="00B62DD5" w:rsidP="00B62DD5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№1958</w:t>
      </w:r>
      <w:bookmarkStart w:id="0" w:name="_GoBack"/>
      <w:bookmarkEnd w:id="0"/>
      <w:r w:rsidRPr="00B62DD5">
        <w:rPr>
          <w:sz w:val="24"/>
          <w:szCs w:val="24"/>
        </w:rPr>
        <w:t xml:space="preserve"> от 15 апреля 2022 года</w:t>
      </w:r>
    </w:p>
    <w:p w:rsidR="00824967" w:rsidRPr="00F433E9" w:rsidRDefault="00B62DD5" w:rsidP="00B62DD5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B62DD5">
        <w:rPr>
          <w:sz w:val="24"/>
          <w:szCs w:val="24"/>
        </w:rPr>
        <w:t xml:space="preserve">Принято на 64-ой очередной сессии Псковской городской Думы шестого созыва  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902841" w:rsidRDefault="00EE4CBA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EE4CBA">
        <w:rPr>
          <w:rFonts w:eastAsiaTheme="minorHAnsi"/>
          <w:lang w:eastAsia="en-US"/>
        </w:rPr>
        <w:t xml:space="preserve">О внесении изменений в Решение Псковской городской Думы от 26 июня 2009 г. № 834 </w:t>
      </w:r>
      <w:r>
        <w:rPr>
          <w:rFonts w:eastAsiaTheme="minorHAnsi"/>
          <w:lang w:eastAsia="en-US"/>
        </w:rPr>
        <w:t xml:space="preserve">                 </w:t>
      </w:r>
      <w:r w:rsidRPr="00EE4CBA">
        <w:rPr>
          <w:rFonts w:eastAsiaTheme="minorHAnsi"/>
          <w:lang w:eastAsia="en-US"/>
        </w:rPr>
        <w:t>«Об утверждении Положения об Управлении по градостроительной деятельности Администрации города Пскова»</w:t>
      </w:r>
    </w:p>
    <w:p w:rsidR="00EE4CBA" w:rsidRPr="000765A9" w:rsidRDefault="00EE4CBA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902841" w:rsidRDefault="00EE4CBA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 w:rsidRPr="00EE4CBA">
        <w:rPr>
          <w:rFonts w:eastAsiaTheme="minorHAnsi"/>
          <w:lang w:eastAsia="en-US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подпунктом 1 пункта 2 статьи 23 Устава муниципального образования «Город Псков»</w:t>
      </w:r>
    </w:p>
    <w:p w:rsidR="00EE4CBA" w:rsidRPr="00902841" w:rsidRDefault="00EE4CBA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Внести в Положение об Управлении по градостроительной деятельности Администрации города Пскова, утвержденное Решением Псковской городской Думы от 26 июня 2009 г. № 834, следующие изменения: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в разделе 2 «Основные цели и задачи»: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а) пункт 2.1 изложить в следующей редакции: </w:t>
      </w:r>
    </w:p>
    <w:p w:rsidR="00EE4CBA" w:rsidRDefault="00EE4CBA" w:rsidP="00E2323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«2.1. </w:t>
      </w:r>
      <w:proofErr w:type="gramStart"/>
      <w:r>
        <w:t>Основными целями деятельности Управления является осуществление функций в области градостроительной деятельности, а также в области земельных отношений, осуществляемых в соответствии с законодательными и иными нормативными правовыми актами Российской Федерации, нормативными правовыми актами Псковской области, муниципальными правовыми актами; обеспечение комплекса работ по организации строительства, реконструкции и капитального ремонта объектов, финансируемых из бюджета города Пскова и друг</w:t>
      </w:r>
      <w:r w:rsidR="00E23233">
        <w:t>их источников финансирования.»;</w:t>
      </w:r>
      <w:proofErr w:type="gramEnd"/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б) пункт 2.2 дополнить подпунктами 2.2.10, 2.2.11 следующего содержания: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«2.2.10.  Реализация решений органов местного самоуправления в области строительства, реконструкции и капитального ремонта объектов».</w:t>
      </w:r>
    </w:p>
    <w:p w:rsidR="00EE4CBA" w:rsidRDefault="00EE4CBA" w:rsidP="00E2323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2.2.11. Обеспечение целевого, эффективного использования бюджетных средств, направленных на финансирование строительства, реконструкции и к</w:t>
      </w:r>
      <w:r w:rsidR="00E23233">
        <w:t>апитального ремонта объектов</w:t>
      </w:r>
      <w:proofErr w:type="gramStart"/>
      <w:r w:rsidR="00E23233">
        <w:t>.»;</w:t>
      </w:r>
      <w:proofErr w:type="gramEnd"/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2) в разделе 3 «Функции Управления»: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а) пункт 3.16 изложить в следующей редакции:</w:t>
      </w:r>
    </w:p>
    <w:p w:rsidR="00EE4CBA" w:rsidRDefault="00EE4CBA" w:rsidP="00E2323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lastRenderedPageBreak/>
        <w:t>«3.16. Осуществляет подготовку проектов решений о ком</w:t>
      </w:r>
      <w:r w:rsidR="00E23233">
        <w:t>плексном развитии территории</w:t>
      </w:r>
      <w:proofErr w:type="gramStart"/>
      <w:r w:rsidR="00E23233">
        <w:t>.»;</w:t>
      </w:r>
      <w:proofErr w:type="gramEnd"/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б) пункт 3.25 изложить в следующей редакции: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«3.25. Обеспечивает: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proofErr w:type="gramStart"/>
      <w:r>
        <w:t>- оценку графических материалов (карты размещения рекламных конструкций) на соответствие требованиям Приказа Государственного комитета Псковской области по экономическому развитию и инвестиционной политике от 28 июля 2014 г. № 933 «Об утверждении требований к составу и содержанию представляемой на предварительное согласование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находящемся в собственности</w:t>
      </w:r>
      <w:proofErr w:type="gramEnd"/>
      <w:r>
        <w:t xml:space="preserve"> области или собственности муниципального образования области» в случае внесения изменений в схему размещения рекламных конструкций по заявлению заинтересованных лиц; </w:t>
      </w:r>
    </w:p>
    <w:p w:rsidR="00EE4CBA" w:rsidRDefault="00EE4CBA" w:rsidP="00E2323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proofErr w:type="gramStart"/>
      <w:r>
        <w:t>- подготовку графических материалов (внесение изменений в общую схему рекламных конструкций, подготовку карты размещения рекламных конструкций), установленных Приказом Государственного комитета Псковской области по экономическому развитию и инвестиционной политике от 28 июля 2014 г. № 933 «Об утверждении требований к составу и содержанию представляемой на предварительное согласование схемы размещения рекламных конструкций на земельных участках независимо от форм собственности, а также на зданиях или</w:t>
      </w:r>
      <w:proofErr w:type="gramEnd"/>
      <w:r>
        <w:t xml:space="preserve"> </w:t>
      </w:r>
      <w:proofErr w:type="gramStart"/>
      <w:r>
        <w:t>ином</w:t>
      </w:r>
      <w:proofErr w:type="gramEnd"/>
      <w:r>
        <w:t xml:space="preserve"> недвижимом имуществе, находящемся в собственности области или собственности муниципального образования области» в случае внесения изменений в схему размещения рекламных конструкций по инициативе уполномоченных органов</w:t>
      </w:r>
      <w:r w:rsidR="00E23233">
        <w:t xml:space="preserve"> Администрации города Пскова.»;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в) дополнить пунктами 3.52 – 3.61 следующего содержания: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«3.52. </w:t>
      </w:r>
      <w:proofErr w:type="gramStart"/>
      <w:r>
        <w:t>Оформляет документы по вопросу признания садового дома жилым домом и жилого дома садовым домом» в соответствии с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  <w:proofErr w:type="gramEnd"/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3.53. Участвует в формировании проекта бюджета города Пскова на очередной финансовый год и последующий плановый период.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3.54. Подготавливает заявки для формирования проекта бюджета города Пскова и обеспечение его исполнения в части строительства, реконструкции и капитального ремонта.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3.55. Производит сбор и обработку данных, составление сводной информации по вопросам строительства, реконструкции и капитального ремонта, выполненных подведомственными организациями.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3.56. Осуществляет функции муниципального заказчика, уполномоченного на размещение заказов на поставки товаров, выполнение работ, оказание услуг за счет бюджетных средств по вопросам компетенции Управления.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3.57. Осуществляет финансирование и софинансирование капитального ремонта общего имущества в многоквартирных жилых домах по вынесенным судебным решениям.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3.58. </w:t>
      </w:r>
      <w:proofErr w:type="gramStart"/>
      <w:r>
        <w:t>Обеспечивает работу и оформляет документы по вопросу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Решением Псковской городской Думы от 29 сентября 2016 г. № 2078 «Об утверждении Порядка проведения осмотра зданий, сооружений в целях оценки</w:t>
      </w:r>
      <w:proofErr w:type="gramEnd"/>
      <w:r>
        <w:t xml:space="preserve">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объектов».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3.59. Осуществляет взаимодействие с Региональным оператором - Фондом капитального ремонта общего имущества в многоквартирных домах Псковской области, Фондом содействия </w:t>
      </w:r>
      <w:r>
        <w:lastRenderedPageBreak/>
        <w:t xml:space="preserve">реформированию жилищно-коммунального хозяйства, управляющими, подрядными и другими организациями в пределах своей компетенции. 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3.60. Осуществляет подготовку проектов документов по учреждению территориального общественного самоуправления на территории муниципального образования «Город Псков»: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об установлении границ территории, на которой осуществляется территориальное общественное самоуправление;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о регистрации устава территориального общественного самоуправления.</w:t>
      </w:r>
    </w:p>
    <w:p w:rsidR="00EE4CBA" w:rsidRDefault="00EE4CBA" w:rsidP="00E2323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3.61. </w:t>
      </w:r>
      <w:proofErr w:type="gramStart"/>
      <w:r>
        <w:t>По обращению органов, уполномоченных на подготовку решения об установлении публичного сервитута, рассматривает описание местоположения границ сервитута, публичного сервитута, устанавливаемых в отношении земель и (или) земельных участков, на соответствие требованиям действующего законодательства, документации по планировке территории, в случае, если подготовка документации по планировке территории в целях размещения объекта капитального строительс</w:t>
      </w:r>
      <w:r w:rsidR="00E23233">
        <w:t xml:space="preserve">тва является обязательной.»; </w:t>
      </w:r>
      <w:proofErr w:type="gramEnd"/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3) в разделе 4 «Руководство управлением»: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а) в пункте 4.1 слова «начальник Управления - главный архитектор города» заменить словами «начальник Управления»;</w:t>
      </w:r>
    </w:p>
    <w:p w:rsidR="00EE4CBA" w:rsidRDefault="00EE4CBA" w:rsidP="00E2323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б) в пункте 4.3 слова «Начальник Управления - главный архитектор города» заменить </w:t>
      </w:r>
      <w:r w:rsidR="00E23233">
        <w:t>словами «начальник Управления»;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4) в разделе 5 «Структура управления»: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а) пункт 5.1 изложить в следующей редакции: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«5.1. В структуру Управления входят: 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начальник Управления;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заместитель начальника Управления - главный архитектор города;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заместители начальника Управления;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отдел территориального планирования и градостроительного зонирования;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отдел подготовки разрешительной документации; 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отдел геоинформационного обеспечения и геодезических работ;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отдел по обеспечению размещения некапитальных объектов; </w:t>
      </w:r>
    </w:p>
    <w:p w:rsidR="00EE4CBA" w:rsidRDefault="00E23233" w:rsidP="00E2323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планово-технический отдел</w:t>
      </w:r>
      <w:proofErr w:type="gramStart"/>
      <w:r>
        <w:t>.»;</w:t>
      </w:r>
      <w:proofErr w:type="gramEnd"/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б) дополнить пунктом 5.2 следующего содержания:</w:t>
      </w:r>
      <w:r>
        <w:tab/>
      </w:r>
    </w:p>
    <w:p w:rsidR="00EE4CBA" w:rsidRDefault="00EE4CBA" w:rsidP="00E2323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«5.2. Управление имеет подведомственную организацию – муниципальное казенное учреждение города Пскова «</w:t>
      </w:r>
      <w:proofErr w:type="spellStart"/>
      <w:r>
        <w:t>Стройтехнадзо</w:t>
      </w:r>
      <w:r w:rsidR="00E23233">
        <w:t>р</w:t>
      </w:r>
      <w:proofErr w:type="spellEnd"/>
      <w:r w:rsidR="00E23233">
        <w:t>»</w:t>
      </w:r>
      <w:proofErr w:type="gramStart"/>
      <w:r w:rsidR="00E23233">
        <w:t>.»</w:t>
      </w:r>
      <w:proofErr w:type="gramEnd"/>
      <w:r w:rsidR="00E23233">
        <w:t>.</w:t>
      </w:r>
    </w:p>
    <w:p w:rsidR="00EE4CBA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:rsidR="00902841" w:rsidRDefault="00EE4CBA" w:rsidP="00EE4CB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5372DA" w:rsidRDefault="005372DA" w:rsidP="005372D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FB2A90" w:rsidRDefault="00FB2A90" w:rsidP="005372DA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03272B" w:rsidRDefault="0003272B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62DD5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323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E4CBA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2022-04-15T12:03:00Z</dcterms:created>
  <dcterms:modified xsi:type="dcterms:W3CDTF">2022-04-18T05:58:00Z</dcterms:modified>
</cp:coreProperties>
</file>