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1806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 жилых помещениях, предоставляемых по договорам социального найма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2022 год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14 Жилищного кодекса Российской Федерации, Приказом Министерства регионального развития Российской Федерации от 25.02.2005 № 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Минстроя России от 28.09.2021 № 699/пр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Псковской области от 14.06.2006 № 559-ОЗ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руководствуясь статьей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Установить на 2022 год: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Пороговый размер дохода, приходящегося на каждого члена семьи или одиноко проживающего гражданина, в размере 2 - кратной величины прожиточного минимума на душу населения, официально установленной постановлением Администрации Псковской области на момент подачи заявления о признании граждан малоимущими.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Пороговый размер стоимости имущества, находящегося в собственности членов семьи или одиноко проживающего гражданина 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определяющийся исходя из расчетного показателя рыночной стоимости приобретения жилого помещения, согласно приложению к настоящему решению. 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01.01.2022.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к Решению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Псковской городской Думы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от_____________№_______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РАСЧЕТ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порогового размера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2022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жилых помещений муниципального жилищного фонда по договорам социального найма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исчисляется по формуле: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СЖ = НП x  РС x РЦ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где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гражданина малоимущим   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2022 год, принимаемый равным расчетному показателю рыночной стоимости приобретения жилого помещения по норме предоставления жилого помещения по договору социального найма;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НП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 предоставления жилого помещения по договору социального найма принимается в размере 17 кв.м общей площади жилого помещения на каждого члена семьи в соответствии с Постановлением Псковской городской Думы от 08.07.2005 № 447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установлении учетной нормы и нормы предоставления площади жилого помещения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РС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членов семьи;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средняя расчетная рыночная цена 1 кв.м общей площади жилого помещения принимается в соответствии с Приказом Минстроя России от 28.09.2021 № 699/пр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IV квартал 2021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Пример расчета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 состав семьи из 1 чел.: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СЖ = 17 кв.м x 1 чел.x 39 361 руб. = 669 137 руб., где: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- 39 361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руб. – рыночная стоимость 1 кв.м общей площади жилого помещения по Псковской области на 4 квартал 2021 года в соответствии с Приказом Минстроя России от 28.09.2021 № 699/пр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IV квартал 2021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                                                                                  Е.А. Полонская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