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4252" w:type="dxa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016669" w:rsidTr="0001666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6669" w:rsidRPr="00016669" w:rsidRDefault="00016669" w:rsidP="00903E3D">
            <w:pPr>
              <w:keepNext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113677267"/>
            <w:bookmarkStart w:id="1" w:name="_Hlk67585372"/>
            <w:r w:rsidRPr="0001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016669" w:rsidRPr="00016669" w:rsidRDefault="00016669" w:rsidP="00903E3D">
            <w:pPr>
              <w:keepNext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669" w:rsidRPr="00016669" w:rsidRDefault="00016669" w:rsidP="00903E3D">
            <w:pPr>
              <w:keepNext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16669" w:rsidRPr="00016669" w:rsidRDefault="00016669" w:rsidP="00903E3D">
            <w:pPr>
              <w:keepNext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proofErr w:type="gramStart"/>
            <w:r w:rsidRPr="0001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</w:t>
            </w:r>
            <w:proofErr w:type="gramEnd"/>
          </w:p>
          <w:p w:rsidR="00016669" w:rsidRPr="00016669" w:rsidRDefault="00016669" w:rsidP="00903E3D">
            <w:pPr>
              <w:keepNext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 города Пскова</w:t>
            </w:r>
          </w:p>
          <w:p w:rsidR="00016669" w:rsidRDefault="00016669" w:rsidP="00903E3D">
            <w:pPr>
              <w:keepNext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2" w:name="_GoBack"/>
            <w:bookmarkEnd w:id="2"/>
            <w:r w:rsidRPr="0001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20.04.2021 № 25К</w:t>
            </w:r>
          </w:p>
        </w:tc>
      </w:tr>
    </w:tbl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Default="00903E3D" w:rsidP="00903E3D">
      <w:pPr>
        <w:keepNext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3EEF" w:rsidRPr="00756163" w:rsidRDefault="002A3EEF" w:rsidP="00903E3D">
      <w:pPr>
        <w:keepNext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669" w:rsidRPr="00016669" w:rsidRDefault="00016669" w:rsidP="0001666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69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:rsidR="00903E3D" w:rsidRPr="00016669" w:rsidRDefault="00903E3D" w:rsidP="00016669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E3D" w:rsidRPr="00016669" w:rsidRDefault="00016669" w:rsidP="00016669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03E3D" w:rsidRPr="0001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АУДИТА В СФЕРЕ ЗАКУПОК</w:t>
      </w:r>
      <w:r w:rsidRPr="0001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3E3D" w:rsidRPr="00016669" w:rsidRDefault="00903E3D" w:rsidP="00016669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3D" w:rsidRPr="00016669" w:rsidRDefault="00903E3D" w:rsidP="00016669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</w:t>
      </w:r>
    </w:p>
    <w:p w:rsidR="00903E3D" w:rsidRPr="00756163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8B6279" w:rsidRDefault="00903E3D" w:rsidP="00903E3D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2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bookmarkEnd w:id="0"/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sectPr w:rsidR="00903E3D" w:rsidRPr="00756163" w:rsidSect="0001666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851" w:bottom="1134" w:left="1418" w:header="340" w:footer="1077" w:gutter="0"/>
          <w:cols w:space="708"/>
          <w:titlePg/>
          <w:docGrid w:linePitch="381"/>
        </w:sectPr>
      </w:pPr>
    </w:p>
    <w:bookmarkEnd w:id="1"/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903E3D" w:rsidRPr="00756163" w:rsidRDefault="00903E3D" w:rsidP="0090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903E3D" w:rsidRPr="00756163" w:rsidRDefault="00903E3D" w:rsidP="0090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97810582"/>
        <w:docPartObj>
          <w:docPartGallery w:val="Table of Contents"/>
          <w:docPartUnique/>
        </w:docPartObj>
      </w:sdtPr>
      <w:sdtEndPr/>
      <w:sdtContent>
        <w:p w:rsidR="006156A0" w:rsidRPr="00016669" w:rsidRDefault="006156A0" w:rsidP="00016669">
          <w:pPr>
            <w:pStyle w:val="a8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01666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16669" w:rsidRPr="00016669" w:rsidRDefault="006156A0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1666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1666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1666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1626973" w:history="1">
            <w:r w:rsidR="00016669"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 Общие положения</w:t>
            </w:r>
            <w:r w:rsidR="00016669"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669"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6669"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_Toc71626973 \h </w:instrText>
            </w:r>
            <w:r w:rsidR="00016669"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6669"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16669"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74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 Содержание аудита в сфере закупок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_Toc71626974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75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 Источники информации для проведения аудита в сфере закупок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_Toc71626975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76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 Этапы проведения аудита в сфере закупок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_Toc71626976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77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4.1 Подготовка к проведению аудита в сфере закупок (подготовительный этап)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_Toc71626977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78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4.2. Проведение аудита в сфере закупок (основной этап)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_Toc71626978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79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4.3. Оформление результатов аудита в сфере закупок (заключительный этап)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_Toc71626979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80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Формирование и размещение обобщенной информации о результатах аудита в сфере закупок в ЕИС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_Toc71626980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669" w:rsidRPr="00016669" w:rsidRDefault="00016669" w:rsidP="00016669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1626981" w:history="1">
            <w:r w:rsidRPr="0001666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_Toc71626981 \h </w:instrTex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0166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6A0" w:rsidRDefault="006156A0" w:rsidP="00016669">
          <w:pPr>
            <w:spacing w:line="360" w:lineRule="auto"/>
          </w:pPr>
          <w:r w:rsidRPr="0001666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03E3D" w:rsidRPr="00756163" w:rsidRDefault="00903E3D" w:rsidP="0090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sectPr w:rsidR="00903E3D" w:rsidRPr="00756163" w:rsidSect="006156A0">
          <w:pgSz w:w="11906" w:h="16838" w:code="9"/>
          <w:pgMar w:top="1134" w:right="851" w:bottom="1134" w:left="1418" w:header="340" w:footer="1077" w:gutter="0"/>
          <w:pgNumType w:start="2"/>
          <w:cols w:space="708"/>
          <w:titlePg/>
          <w:docGrid w:linePitch="360"/>
        </w:sectPr>
      </w:pPr>
    </w:p>
    <w:p w:rsidR="00903E3D" w:rsidRPr="005D016C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71626973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1. Общие положения</w:t>
      </w:r>
      <w:bookmarkEnd w:id="3"/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903E3D" w:rsidRPr="00756163" w:rsidRDefault="00903E3D" w:rsidP="00903E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Контрольно-счетной палаты города Пскова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0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КСП г. Пскова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аудита в сфере закупок» (далее – Стандарт) подготовлен на основе методических рекомендаций по проведению аудита в сфере закупок</w:t>
      </w:r>
      <w:r w:rsidRPr="0011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Коллегией Счетной палаты Российской Федерации </w:t>
      </w:r>
      <w:r w:rsidRPr="00110E17">
        <w:rPr>
          <w:rFonts w:ascii="Times New Roman" w:eastAsia="Calibri" w:hAnsi="Times New Roman" w:cs="Arial"/>
          <w:color w:val="000000" w:themeColor="text1"/>
          <w:sz w:val="28"/>
          <w:szCs w:val="28"/>
          <w:lang w:eastAsia="ar-SA"/>
        </w:rPr>
        <w:t xml:space="preserve">(протокол от 30.06.2017 </w:t>
      </w:r>
      <w:r w:rsidRPr="00110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39К (1184)</w:t>
      </w:r>
      <w:r w:rsidR="00110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6156A0" w:rsidRPr="0061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7CBB" w:rsidRPr="00110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стандарта «Проведение аудита в сфере закупок», утвержденного решением Президиума Союза МКСО (протокол от 18.12.2014 г., п</w:t>
      </w:r>
      <w:proofErr w:type="gramEnd"/>
      <w:r w:rsidR="00CB7CBB" w:rsidRPr="00110E17">
        <w:rPr>
          <w:rFonts w:ascii="Times New Roman" w:eastAsia="Times New Roman" w:hAnsi="Times New Roman" w:cs="Times New Roman"/>
          <w:sz w:val="28"/>
          <w:szCs w:val="28"/>
          <w:lang w:eastAsia="ru-RU"/>
        </w:rPr>
        <w:t>. 12.1)</w:t>
      </w:r>
      <w:r w:rsidR="00110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E3D" w:rsidRPr="00756163" w:rsidRDefault="00903E3D" w:rsidP="00903E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Стандарта являются требования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Федерального закона от 05.04.2013 № 44-ФЗ «О</w:t>
      </w:r>
      <w:r w:rsidR="00641C27">
        <w:t> 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6156A0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Закон № 44-ФЗ)</w:t>
      </w:r>
      <w:r w:rsidR="006156A0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E17" w:rsidRPr="00110E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Положения о Контроль</w:t>
      </w:r>
      <w:r w:rsid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но-счетной палате города Пскова, утвержденное Решением Псковской городской</w:t>
      </w:r>
      <w:proofErr w:type="gramEnd"/>
      <w:r w:rsid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110E17" w:rsidRPr="00110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27.12.2012 №381.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Стандарта является установление рекомендуемых для выполнения методов (способов), процедур, применяемых в процессе осуществления Контрольно-счетной палатой города Пскова (далее - КСП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C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Пскова) аудита в сфере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Стандарта являются определение:</w:t>
      </w:r>
    </w:p>
    <w:p w:rsidR="00903E3D" w:rsidRPr="00756163" w:rsidRDefault="006156A0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E3D"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предмета и объектов аудита в сфере закупок;</w:t>
      </w:r>
    </w:p>
    <w:p w:rsidR="00903E3D" w:rsidRPr="00756163" w:rsidRDefault="006156A0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E3D"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источников информации для проведения аудита в сфере закупок;</w:t>
      </w:r>
    </w:p>
    <w:p w:rsidR="00903E3D" w:rsidRPr="00756163" w:rsidRDefault="006156A0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E3D"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проведения аудита в сфере закупок и их содержания;</w:t>
      </w:r>
    </w:p>
    <w:p w:rsidR="00903E3D" w:rsidRPr="00756163" w:rsidRDefault="006156A0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E3D"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подготовки и размещения обобщенной информации о результатах аудита в сфере закупок в единой информационной системе</w:t>
      </w:r>
      <w:r w:rsidR="0090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ЕИС)</w:t>
      </w:r>
      <w:r w:rsidR="00903E3D"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E3D" w:rsidRPr="00756163" w:rsidRDefault="00903E3D" w:rsidP="0090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Основные понятия, используемые в настоящем Стандарте, соответствуют понятиям, установленным ст. 3 </w:t>
      </w:r>
      <w:r w:rsid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44-ФЗ.</w:t>
      </w:r>
    </w:p>
    <w:p w:rsidR="00903E3D" w:rsidRPr="005D016C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71626974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>2. Содержание аудита в сфере закупок</w:t>
      </w:r>
      <w:bookmarkEnd w:id="4"/>
    </w:p>
    <w:p w:rsidR="00903E3D" w:rsidRPr="00756163" w:rsidRDefault="00903E3D" w:rsidP="0090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E3D" w:rsidRPr="00756163" w:rsidRDefault="00903E3D" w:rsidP="0090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 Аудит в сфере закупок </w:t>
      </w: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56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вид внешнего муниципального контроля, осуществляемого КСП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Пскова в соответствии с полномочиями, установленными 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3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Закона № 44</w:t>
      </w:r>
      <w:bookmarkStart w:id="5" w:name="Par160"/>
      <w:bookmarkStart w:id="6" w:name="Par161"/>
      <w:bookmarkEnd w:id="5"/>
      <w:bookmarkEnd w:id="6"/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75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 Задачи аудита в сфере закупок: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Calibri" w:hAnsi="Times New Roman" w:cs="Times New Roman"/>
          <w:sz w:val="28"/>
          <w:szCs w:val="28"/>
        </w:rPr>
        <w:t>- проверка,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планируемым к заключению, заключенным и исполненным контрактам (далее – расходы на закупки);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Pr="00756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E3D" w:rsidRPr="00756163" w:rsidRDefault="008B6279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E3D"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предложений, направленных на устранение выя</w:t>
      </w:r>
      <w:r w:rsidR="0090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нарушений и недостатков;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а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 Предметом аудита в сфере закупок является процесс </w:t>
      </w:r>
      <w:r w:rsidRP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</w:t>
      </w:r>
      <w:r w:rsid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бюджета муниципального образования «Город Псков»,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 В процессе проведения аудита в сфере закупок проверяются, анализируются и оцениваются: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процесс планирования закупок;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система ведомственного контроля в сфере закупок;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система контроля в сфере закупок, осуществляемого заказчиком.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 Объектами аудита (контроля) в сфере закупок являются заказчики, на которых распространяются контрольные полномочия КСП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Пскова.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2.6. </w:t>
      </w:r>
      <w:r w:rsidRP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 в сфере закупок может быть осуществлен путем проведения отдельных контрольных или экспертно-аналитических мероприятий, а также</w:t>
      </w:r>
      <w:r w:rsidR="000343AE" w:rsidRP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</w:t>
      </w:r>
      <w:r w:rsidRP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включения аудита в сфере закупок отдельным вопросом</w:t>
      </w:r>
      <w:r w:rsid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03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проводимых контрольных или экспертно-аналитических мероприятий.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E3D" w:rsidRPr="005D016C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71626975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>3. Источники информации для проведения аудита в сфере закупок</w:t>
      </w:r>
      <w:bookmarkEnd w:id="7"/>
    </w:p>
    <w:p w:rsidR="000343AE" w:rsidRPr="00756163" w:rsidRDefault="000343AE" w:rsidP="0090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Аудит в сфере закупок может проводиться с использованием различных способов получения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При проведен</w:t>
      </w:r>
      <w:proofErr w:type="gramStart"/>
      <w:r w:rsidRPr="007D6FE3">
        <w:rPr>
          <w:rFonts w:ascii="Times New Roman" w:eastAsia="Calibri" w:hAnsi="Times New Roman" w:cs="Times New Roman"/>
          <w:sz w:val="28"/>
          <w:szCs w:val="28"/>
        </w:rPr>
        <w:t>и</w:t>
      </w:r>
      <w:r w:rsidR="006156A0">
        <w:rPr>
          <w:rFonts w:ascii="Times New Roman" w:eastAsia="Calibri" w:hAnsi="Times New Roman" w:cs="Times New Roman"/>
          <w:sz w:val="28"/>
          <w:szCs w:val="28"/>
        </w:rPr>
        <w:t>и</w:t>
      </w:r>
      <w:r w:rsidRPr="007D6FE3">
        <w:rPr>
          <w:rFonts w:ascii="Times New Roman" w:eastAsia="Calibri" w:hAnsi="Times New Roman" w:cs="Times New Roman"/>
          <w:sz w:val="28"/>
          <w:szCs w:val="28"/>
        </w:rPr>
        <w:t xml:space="preserve"> ау</w:t>
      </w:r>
      <w:proofErr w:type="gramEnd"/>
      <w:r w:rsidRPr="007D6FE3">
        <w:rPr>
          <w:rFonts w:ascii="Times New Roman" w:eastAsia="Calibri" w:hAnsi="Times New Roman" w:cs="Times New Roman"/>
          <w:sz w:val="28"/>
          <w:szCs w:val="28"/>
        </w:rPr>
        <w:t>дита в сфере закупок рекомендуется использовать следующие источники информации: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 внутренние документы заказчика: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документ о создании и регламентации работы комиссии (комиссий) по осуществлению закупок; </w:t>
      </w:r>
    </w:p>
    <w:p w:rsidR="00903E3D" w:rsidRPr="000343AE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0343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утвержденный план-график закупок;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3AE">
        <w:rPr>
          <w:rFonts w:ascii="Times New Roman" w:eastAsia="Calibri" w:hAnsi="Times New Roman" w:cs="Times New Roman"/>
          <w:sz w:val="28"/>
          <w:szCs w:val="28"/>
        </w:rPr>
        <w:t>- утвержденные требования к отдельным видам товаров, работ, услуг (в том числе предельные цены товаров, работ, услуг</w:t>
      </w:r>
      <w:r w:rsidRPr="000343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закупаемых заказчиком,</w:t>
      </w:r>
      <w:r w:rsidRPr="000343AE">
        <w:rPr>
          <w:rFonts w:ascii="Times New Roman" w:eastAsia="Calibri" w:hAnsi="Times New Roman" w:cs="Times New Roman"/>
          <w:sz w:val="28"/>
          <w:szCs w:val="28"/>
        </w:rPr>
        <w:t xml:space="preserve"> и нормативные затраты на обеспечение функций заказчика;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FE3">
        <w:rPr>
          <w:rFonts w:ascii="Times New Roman" w:eastAsia="Calibri" w:hAnsi="Times New Roman" w:cs="Times New Roman"/>
          <w:sz w:val="28"/>
          <w:szCs w:val="28"/>
        </w:rPr>
        <w:t>извещения об осуществлении закупок, документации о закупках, проекты контрактов, в том числе изменения и разъяснения к ним;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FE3">
        <w:rPr>
          <w:rFonts w:ascii="Times New Roman" w:eastAsia="Calibri" w:hAnsi="Times New Roman" w:cs="Times New Roman"/>
          <w:sz w:val="28"/>
          <w:szCs w:val="28"/>
        </w:rPr>
        <w:t>решения об отмене процедуры определения поставщика (подрядчика, исполнителя);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FE3">
        <w:rPr>
          <w:rFonts w:ascii="Times New Roman" w:eastAsia="Calibri" w:hAnsi="Times New Roman" w:cs="Times New Roman"/>
          <w:sz w:val="28"/>
          <w:szCs w:val="28"/>
        </w:rPr>
        <w:t>заявки участников закупки;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FE3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поступление обеспечений заявок от участников закупки;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FE3">
        <w:rPr>
          <w:rFonts w:ascii="Times New Roman" w:eastAsia="Calibri" w:hAnsi="Times New Roman" w:cs="Times New Roman"/>
          <w:sz w:val="28"/>
          <w:szCs w:val="28"/>
        </w:rPr>
        <w:t>информация, содержащаяся в протоколах определения поставщиков (подрядчиков, исполнителей);</w:t>
      </w:r>
    </w:p>
    <w:p w:rsidR="00903E3D" w:rsidRPr="007D6FE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E3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FE3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своевременный возврат заказчиком денежных средств, внесенных в качестве обеспечения заявки на участие в определении поставщика (подрядчика, исполнителя) (в случае перечисления указанных средств заказчику); </w:t>
      </w:r>
    </w:p>
    <w:p w:rsidR="00903E3D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6B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76B">
        <w:rPr>
          <w:rFonts w:ascii="Times New Roman" w:eastAsia="Calibri" w:hAnsi="Times New Roman" w:cs="Times New Roman"/>
          <w:sz w:val="28"/>
          <w:szCs w:val="28"/>
        </w:rPr>
        <w:t>документы, подтверждающие согласование закупки у единственного поставщика (подрядчика, исполнителя) с соответствующим контрольным органом в сфере закупок (п</w:t>
      </w:r>
      <w:r w:rsidR="00C84D52">
        <w:rPr>
          <w:rFonts w:ascii="Times New Roman" w:eastAsia="Calibri" w:hAnsi="Times New Roman" w:cs="Times New Roman"/>
          <w:sz w:val="28"/>
          <w:szCs w:val="28"/>
        </w:rPr>
        <w:t>.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24, 25 ч</w:t>
      </w:r>
      <w:r w:rsidR="00C84D52">
        <w:rPr>
          <w:rFonts w:ascii="Times New Roman" w:eastAsia="Calibri" w:hAnsi="Times New Roman" w:cs="Times New Roman"/>
          <w:sz w:val="28"/>
          <w:szCs w:val="28"/>
        </w:rPr>
        <w:t>.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1 ст</w:t>
      </w:r>
      <w:r w:rsidR="00C84D52">
        <w:rPr>
          <w:rFonts w:ascii="Times New Roman" w:eastAsia="Calibri" w:hAnsi="Times New Roman" w:cs="Times New Roman"/>
          <w:sz w:val="28"/>
          <w:szCs w:val="28"/>
        </w:rPr>
        <w:t>.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93 </w:t>
      </w:r>
      <w:r w:rsidR="003D640F">
        <w:rPr>
          <w:rFonts w:ascii="Times New Roman" w:eastAsia="Calibri" w:hAnsi="Times New Roman" w:cs="Times New Roman"/>
          <w:sz w:val="28"/>
          <w:szCs w:val="28"/>
        </w:rPr>
        <w:t>З</w:t>
      </w:r>
      <w:r w:rsidR="008B6279">
        <w:rPr>
          <w:rFonts w:ascii="Times New Roman" w:eastAsia="Calibri" w:hAnsi="Times New Roman" w:cs="Times New Roman"/>
          <w:sz w:val="28"/>
          <w:szCs w:val="28"/>
        </w:rPr>
        <w:t>акона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№ 44-ФЗ);</w:t>
      </w:r>
    </w:p>
    <w:p w:rsidR="00903E3D" w:rsidRPr="00C84D52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D52">
        <w:rPr>
          <w:rFonts w:ascii="Times New Roman" w:eastAsia="Calibri" w:hAnsi="Times New Roman" w:cs="Times New Roman"/>
          <w:sz w:val="28"/>
          <w:szCs w:val="28"/>
        </w:rPr>
        <w:t>- расчеты начальной (максимальной) цены контракта</w:t>
      </w:r>
      <w:r w:rsidR="00C84D52" w:rsidRPr="00C84D52">
        <w:rPr>
          <w:rFonts w:ascii="Times New Roman" w:eastAsia="Calibri" w:hAnsi="Times New Roman" w:cs="Times New Roman"/>
          <w:sz w:val="28"/>
          <w:szCs w:val="28"/>
        </w:rPr>
        <w:t xml:space="preserve"> (далее - НМЦК)</w:t>
      </w:r>
      <w:r w:rsidRPr="00C84D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E3D" w:rsidRPr="002D676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D52">
        <w:rPr>
          <w:rFonts w:ascii="Times New Roman" w:eastAsia="Calibri" w:hAnsi="Times New Roman" w:cs="Times New Roman"/>
          <w:sz w:val="28"/>
          <w:szCs w:val="28"/>
        </w:rPr>
        <w:t>-</w:t>
      </w:r>
      <w:r w:rsidR="0061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D52">
        <w:rPr>
          <w:rFonts w:ascii="Times New Roman" w:eastAsia="Calibri" w:hAnsi="Times New Roman" w:cs="Times New Roman"/>
          <w:sz w:val="28"/>
          <w:szCs w:val="28"/>
        </w:rPr>
        <w:t>документы, обосновывающие иные способы определения поставщика (подрядчика, исполнителя), а также цену контракта и иные существенные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условия контракта в случае осуществления закупки у единственного поставщика (подрядчика, исполнителя);</w:t>
      </w:r>
    </w:p>
    <w:p w:rsidR="00903E3D" w:rsidRPr="002D676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6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76B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поступление (предоставление) обеспечений исполнения контрактов;</w:t>
      </w:r>
    </w:p>
    <w:p w:rsidR="00903E3D" w:rsidRPr="002D676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6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76B">
        <w:rPr>
          <w:rFonts w:ascii="Times New Roman" w:eastAsia="Calibri" w:hAnsi="Times New Roman" w:cs="Times New Roman"/>
          <w:sz w:val="28"/>
          <w:szCs w:val="28"/>
        </w:rPr>
        <w:t>документы, подтверждающие возврат денежных средств, внесенных в качестве обеспечения исполнения контракта (если такая форма обеспечения исполнения контракта применялась поставщиком (подрядчиком, исполнителем);</w:t>
      </w:r>
    </w:p>
    <w:p w:rsidR="00903E3D" w:rsidRPr="002D676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6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76B">
        <w:rPr>
          <w:rFonts w:ascii="Times New Roman" w:eastAsia="Calibri" w:hAnsi="Times New Roman" w:cs="Times New Roman"/>
          <w:sz w:val="28"/>
          <w:szCs w:val="28"/>
        </w:rPr>
        <w:t>заключенные контракты и дополнительные соглашения к ним;</w:t>
      </w:r>
    </w:p>
    <w:p w:rsidR="00903E3D" w:rsidRPr="002D676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6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76B">
        <w:rPr>
          <w:rFonts w:ascii="Times New Roman" w:eastAsia="Calibri" w:hAnsi="Times New Roman" w:cs="Times New Roman"/>
          <w:sz w:val="28"/>
          <w:szCs w:val="28"/>
        </w:rPr>
        <w:t>документы, подтверждающие расторжение контрактов (при наличии);</w:t>
      </w:r>
    </w:p>
    <w:p w:rsidR="00903E3D" w:rsidRPr="002D676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76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76B">
        <w:rPr>
          <w:rFonts w:ascii="Times New Roman" w:eastAsia="Calibri" w:hAnsi="Times New Roman" w:cs="Times New Roman"/>
          <w:sz w:val="28"/>
          <w:szCs w:val="28"/>
        </w:rPr>
        <w:t>уведомления, направленные в контрольный орган в сфере закупок (ч</w:t>
      </w:r>
      <w:r w:rsidR="00D577EE">
        <w:rPr>
          <w:rFonts w:ascii="Times New Roman" w:eastAsia="Calibri" w:hAnsi="Times New Roman" w:cs="Times New Roman"/>
          <w:sz w:val="28"/>
          <w:szCs w:val="28"/>
        </w:rPr>
        <w:t>.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2 ст</w:t>
      </w:r>
      <w:r w:rsidR="00D577EE">
        <w:rPr>
          <w:rFonts w:ascii="Times New Roman" w:eastAsia="Calibri" w:hAnsi="Times New Roman" w:cs="Times New Roman"/>
          <w:sz w:val="28"/>
          <w:szCs w:val="28"/>
        </w:rPr>
        <w:t>.</w:t>
      </w:r>
      <w:r w:rsidRPr="002D676B">
        <w:rPr>
          <w:rFonts w:ascii="Times New Roman" w:eastAsia="Calibri" w:hAnsi="Times New Roman" w:cs="Times New Roman"/>
          <w:sz w:val="28"/>
          <w:szCs w:val="28"/>
        </w:rPr>
        <w:t xml:space="preserve"> 93 </w:t>
      </w:r>
      <w:r w:rsidR="003D640F">
        <w:rPr>
          <w:rFonts w:ascii="Times New Roman" w:eastAsia="Calibri" w:hAnsi="Times New Roman" w:cs="Times New Roman"/>
          <w:sz w:val="28"/>
          <w:szCs w:val="28"/>
        </w:rPr>
        <w:t>З</w:t>
      </w:r>
      <w:r w:rsidRPr="002D676B">
        <w:rPr>
          <w:rFonts w:ascii="Times New Roman" w:eastAsia="Calibri" w:hAnsi="Times New Roman" w:cs="Times New Roman"/>
          <w:sz w:val="28"/>
          <w:szCs w:val="28"/>
        </w:rPr>
        <w:t>акона № 44-ФЗ);</w:t>
      </w:r>
    </w:p>
    <w:p w:rsidR="00903E3D" w:rsidRPr="00831B1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1B1B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B1B">
        <w:rPr>
          <w:rFonts w:ascii="Times New Roman" w:eastAsia="Calibri" w:hAnsi="Times New Roman" w:cs="Times New Roman"/>
          <w:sz w:val="28"/>
          <w:szCs w:val="28"/>
        </w:rPr>
        <w:t>документы, подтверждающие взыскание неустойки (пени, штрафа) с недобросовестного поставщика (подрядчика, исполнителя);</w:t>
      </w:r>
      <w:proofErr w:type="gramEnd"/>
    </w:p>
    <w:p w:rsidR="00903E3D" w:rsidRPr="00831B1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1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B1B">
        <w:rPr>
          <w:rFonts w:ascii="Times New Roman" w:eastAsia="Calibri" w:hAnsi="Times New Roman" w:cs="Times New Roman"/>
          <w:sz w:val="28"/>
          <w:szCs w:val="28"/>
        </w:rPr>
        <w:t>документы, подтверждающие приемку и оплату товаров, работ, услуг;</w:t>
      </w:r>
    </w:p>
    <w:p w:rsidR="00903E3D" w:rsidRPr="00831B1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1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B1B">
        <w:rPr>
          <w:rFonts w:ascii="Times New Roman" w:eastAsia="Calibri" w:hAnsi="Times New Roman" w:cs="Times New Roman"/>
          <w:sz w:val="28"/>
          <w:szCs w:val="28"/>
        </w:rPr>
        <w:t>документы, обосновывающие изменение и (или) неисполнение условий заключенных контрактов;</w:t>
      </w:r>
    </w:p>
    <w:p w:rsidR="00903E3D" w:rsidRPr="00831B1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1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B1B">
        <w:rPr>
          <w:rFonts w:ascii="Times New Roman" w:eastAsia="Calibri" w:hAnsi="Times New Roman" w:cs="Times New Roman"/>
          <w:sz w:val="28"/>
          <w:szCs w:val="28"/>
        </w:rPr>
        <w:t>документ, регламентирующий проведение ведомственного контроля в сфере закупок, осуществляемый заказчиком;</w:t>
      </w:r>
    </w:p>
    <w:p w:rsidR="00903E3D" w:rsidRPr="00831B1B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1B">
        <w:rPr>
          <w:rFonts w:ascii="Times New Roman" w:eastAsia="Calibri" w:hAnsi="Times New Roman" w:cs="Times New Roman"/>
          <w:sz w:val="28"/>
          <w:szCs w:val="28"/>
        </w:rPr>
        <w:t>-</w:t>
      </w:r>
      <w:r w:rsidR="00D5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B1B">
        <w:rPr>
          <w:rFonts w:ascii="Times New Roman" w:eastAsia="Calibri" w:hAnsi="Times New Roman" w:cs="Times New Roman"/>
          <w:sz w:val="28"/>
          <w:szCs w:val="28"/>
        </w:rPr>
        <w:t>иные документы и информация в соответствии с целями проведения аудита в сфере закупок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5F65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 </w:t>
      </w:r>
      <w:r w:rsidR="00D5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ЕИС</w:t>
      </w:r>
      <w:r w:rsidRPr="005F65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сфере закупок, в том числе документы, утвержденные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заказчиком и подлежащие размещению в </w:t>
      </w:r>
      <w:r w:rsidRPr="009C33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ЕИС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сфере закупок, а именно</w:t>
      </w:r>
      <w:bookmarkStart w:id="8" w:name="Par84"/>
      <w:bookmarkEnd w:id="8"/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планы-графики закупок;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9" w:name="Par86"/>
      <w:bookmarkEnd w:id="9"/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информация о реализации планов-графиков закупок;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реестр контрактов, включая копии заключенных контрактов;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реестр недобросовестных поставщиков (подрядчиков, исполнителей);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библиотека типовых контрактов, типовых условий контрактов;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реестр банковских гарантий;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каталоги товаров, работ, услуг для обеспечения государственных и муниципальных нужд;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реестр плановых и внеплановых проверок, включая реестр жалоб, их результатов и выданных предписаний;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D5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F6531">
        <w:rPr>
          <w:rFonts w:ascii="Times New Roman" w:eastAsia="Calibri" w:hAnsi="Times New Roman" w:cs="Times New Roman"/>
          <w:sz w:val="28"/>
          <w:szCs w:val="28"/>
        </w:rPr>
        <w:t>обоснование невозможности соблюдения заказчиком запрета или ограничений, установленных нормативными правовыми актами Правительства Российской Федерации на допуск товаров, происходящих из иностранных государств, работ и услуг, выполняемых (оказываемых) иностранными лицами;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отчеты заказчиков, предусмотренные Законом № 44-ФЗ;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0" w:name="Par98"/>
      <w:bookmarkEnd w:id="10"/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извещения об осуществлении закупок, документации о закупках, проекты контрактов, размещаемые при объявлении о закупке, в том числе изменения и разъяснения к ним;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информация, содержащаяся в протоколах определения поставщиков (подрядчиков, исполнителей);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61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информация о ходе и результатах о</w:t>
      </w:r>
      <w:r w:rsidRPr="00756163">
        <w:rPr>
          <w:rFonts w:ascii="Times New Roman" w:eastAsia="Calibri" w:hAnsi="Times New Roman" w:cs="Times New Roman"/>
          <w:color w:val="000000"/>
          <w:sz w:val="28"/>
          <w:szCs w:val="28"/>
        </w:rPr>
        <w:t>бязательного общественного обсуждения закупок в случае, если начальная (максимальная) цена контракта</w:t>
      </w:r>
      <w:r w:rsidR="00D577E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56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цена контракта, заключаемого с единственным поставщиком (подрядчиком, исполнителем), превышает один миллиард рублей;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результаты мониторинга закупок, аудита в сфере закупок, а также контроля в сфере закупок;</w:t>
      </w:r>
    </w:p>
    <w:p w:rsidR="00903E3D" w:rsidRPr="0063793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3FE">
        <w:rPr>
          <w:rFonts w:ascii="Times New Roman" w:eastAsia="Calibri" w:hAnsi="Times New Roman" w:cs="Times New Roman"/>
          <w:sz w:val="28"/>
          <w:szCs w:val="28"/>
        </w:rPr>
        <w:t>- информация о результатах исполнения контракта или отдельного этапа исполнения контракта:</w:t>
      </w:r>
    </w:p>
    <w:p w:rsidR="00903E3D" w:rsidRPr="0063793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33">
        <w:rPr>
          <w:rFonts w:ascii="Times New Roman" w:eastAsia="Calibri" w:hAnsi="Times New Roman" w:cs="Times New Roman"/>
          <w:sz w:val="28"/>
          <w:szCs w:val="28"/>
        </w:rPr>
        <w:t>а)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903E3D" w:rsidRPr="0063793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33">
        <w:rPr>
          <w:rFonts w:ascii="Times New Roman" w:eastAsia="Calibri" w:hAnsi="Times New Roman" w:cs="Times New Roman"/>
          <w:sz w:val="28"/>
          <w:szCs w:val="28"/>
        </w:rPr>
        <w:t>б)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903E3D" w:rsidRPr="0063793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33">
        <w:rPr>
          <w:rFonts w:ascii="Times New Roman" w:eastAsia="Calibri" w:hAnsi="Times New Roman" w:cs="Times New Roman"/>
          <w:sz w:val="28"/>
          <w:szCs w:val="28"/>
        </w:rPr>
        <w:t>в) об изменении или о расторжении контракта в ходе его исполнения;</w:t>
      </w:r>
    </w:p>
    <w:p w:rsidR="00903E3D" w:rsidRPr="0063793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33">
        <w:rPr>
          <w:rFonts w:ascii="Times New Roman" w:eastAsia="Calibri" w:hAnsi="Times New Roman" w:cs="Times New Roman"/>
          <w:sz w:val="28"/>
          <w:szCs w:val="28"/>
        </w:rPr>
        <w:t>г) заключения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 электронные площадки и информация, размещаемая на них, включая </w:t>
      </w:r>
      <w:r w:rsidRPr="00756163">
        <w:rPr>
          <w:rFonts w:ascii="Times New Roman" w:eastAsia="Calibri" w:hAnsi="Times New Roman" w:cs="Times New Roman"/>
          <w:sz w:val="28"/>
          <w:szCs w:val="28"/>
        </w:rPr>
        <w:t>реестры участников электронного аукциона, получивших аккредитацию на электронной площадке;</w:t>
      </w:r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56163">
        <w:rPr>
          <w:rFonts w:ascii="Times New Roman" w:eastAsia="Calibri" w:hAnsi="Times New Roman" w:cs="Times New Roman"/>
          <w:sz w:val="28"/>
          <w:szCs w:val="28"/>
        </w:rPr>
        <w:t xml:space="preserve">) официальные сайты заказчиков и информация, размещаемая на них, в том числе о планируемых закупках; 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56163">
        <w:rPr>
          <w:rFonts w:ascii="Times New Roman" w:eastAsia="Calibri" w:hAnsi="Times New Roman" w:cs="Times New Roman"/>
          <w:sz w:val="28"/>
          <w:szCs w:val="28"/>
        </w:rPr>
        <w:t>) печатные издания, в которых публикуется информация о планируемых закупках;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 данные статистического наблюдения; 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C33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8) документы, подтверждающие поставку товаров, выполнение работ, оказание услуг, в том числе и по отдельным этапам исполнения контракта,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</w:t>
      </w:r>
      <w:proofErr w:type="gramEnd"/>
      <w:r w:rsidRPr="009C33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осуществлялась закупка;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 результаты предыдущих проверок соответствующих контрольных и надзорных органов</w:t>
      </w: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10</w:t>
      </w: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) информация о выявленных нарушениях законодательства о контрактной системе, полученная от </w:t>
      </w:r>
      <w:r w:rsidRPr="009C33FE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контрольных, надзорных и правоохранительных</w:t>
      </w: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органов в рамках реализации соглашений о взаимном сотрудничестве;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1</w:t>
      </w: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) электронные базы данных органов исполнительной власти;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2</w:t>
      </w:r>
      <w:r w:rsidRPr="00756163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) интернет-сайты компаний-производителей товаров, работ, услуг;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 иная информация (документы, сведения), полученная от экспертов, в том числе</w:t>
      </w:r>
      <w:r w:rsidR="005D016C" w:rsidRPr="005D01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информация о складывающихся на товарных рынках ценах товаров, 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работ, услуг, закупаемых для обеспечения государственных и муниципальных нужд.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highlight w:val="cyan"/>
          <w:lang w:eastAsia="ru-RU"/>
        </w:rPr>
      </w:pPr>
    </w:p>
    <w:p w:rsidR="00903E3D" w:rsidRPr="005D016C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71626976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>4. Этапы проведения аудита в сфере закупок</w:t>
      </w:r>
      <w:bookmarkEnd w:id="11"/>
    </w:p>
    <w:p w:rsidR="007D703C" w:rsidRPr="006156A0" w:rsidRDefault="006156A0" w:rsidP="006156A0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2" w:name="_Toc71626977"/>
      <w:r w:rsidRPr="006156A0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03E3D" w:rsidRPr="006156A0">
        <w:rPr>
          <w:rFonts w:ascii="Times New Roman" w:eastAsia="Times New Roman" w:hAnsi="Times New Roman" w:cs="Times New Roman"/>
          <w:color w:val="auto"/>
          <w:lang w:eastAsia="ru-RU"/>
        </w:rPr>
        <w:t>.1 Подготовка к проведению аудита в сфере закупок (подготовительный этап)</w:t>
      </w:r>
      <w:bookmarkEnd w:id="12"/>
    </w:p>
    <w:p w:rsidR="006156A0" w:rsidRPr="006156A0" w:rsidRDefault="006156A0" w:rsidP="006156A0">
      <w:pPr>
        <w:rPr>
          <w:lang w:eastAsia="ru-RU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E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 подготовке к проведению аудита </w:t>
      </w:r>
      <w:r w:rsidRPr="00A02E9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сфере закупок</w:t>
      </w:r>
      <w:r w:rsidRPr="00A02E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</w:t>
      </w:r>
      <w:r w:rsidRPr="00A02E9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подготовительный этап)</w:t>
      </w:r>
      <w:r w:rsidRPr="00756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мероприятия.</w:t>
      </w:r>
    </w:p>
    <w:p w:rsidR="00903E3D" w:rsidRPr="009C33FE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Анализ специфики предмета и объекта аудита (контроля). </w:t>
      </w:r>
    </w:p>
    <w:p w:rsidR="00903E3D" w:rsidRPr="00756163" w:rsidRDefault="00903E3D" w:rsidP="0090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специфики предмета и объекта аудита (контроля) определяются вопросы проверки, методы ее проведения, анализа и выбора критериев (показателей) оценки предмета и объекта аудита в сфере закупок.</w:t>
      </w:r>
    </w:p>
    <w:p w:rsidR="00903E3D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Сбор данных и информации из открытых источников. </w:t>
      </w: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и информации на подготовительном этапе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источников. </w:t>
      </w:r>
    </w:p>
    <w:p w:rsidR="00903E3D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Формирование программы аудита в сфере закупок.</w:t>
      </w:r>
    </w:p>
    <w:p w:rsidR="00903E3D" w:rsidRPr="00016669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объекта аудита (контроля) подготавливается проект программы проведения аудита в сфере закупок. Подготовка и утверждение программы проведения аудита в сфере закупок осуществляется в соответствии с Регламентом КСП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Пскова.</w:t>
      </w:r>
    </w:p>
    <w:p w:rsidR="00903E3D" w:rsidRPr="00D577EE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3" w:name="_Toc71626978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>4.2. Проведение аудита в сфере закупок (основной этап)</w:t>
      </w:r>
      <w:bookmarkEnd w:id="13"/>
    </w:p>
    <w:p w:rsidR="005D016C" w:rsidRPr="00D577EE" w:rsidRDefault="005D016C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аудита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сфере закупок (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основной этап)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проводятся проверка, анализ и оценка информации </w:t>
      </w:r>
      <w:r w:rsidRPr="006156A0">
        <w:rPr>
          <w:rFonts w:ascii="Times New Roman" w:hAnsi="Times New Roman" w:cs="Times New Roman"/>
          <w:sz w:val="28"/>
          <w:szCs w:val="28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вопросами программы мероприятия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проведения мероприятия подлежат рассмотрению следующие основные вопросы: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наличие, порядок формирования, организация работы комиссии (комиссий) по осуществлению закупок;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выбора и функционал специализированной организации</w:t>
      </w:r>
      <w:r w:rsidR="00D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организации централизованных закупок и совместных конкурсов и аукционов;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и порядок проведения ведомственного контроля в сфере закупок в отношении подведомственных заказчиков;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обязательного общественного обсуждения закупок в случаях</w:t>
      </w:r>
      <w:r w:rsidR="005D016C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действующим законодательством;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обоснование закупки;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документации (извещения) о закупке на предмет соответствия требованиям действующего законодательства;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наличия в контракте обязательных условий;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</w:t>
      </w:r>
      <w:proofErr w:type="gramStart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системы; организации инвалидов;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и соответствие законодательству обеспечения заявок;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и соответствие законодательству обеспечения исполнения контракта;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соблюдения требований законодательства при оценке заявок;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применение антидемпинговых мер при проведении конкурса и аукциона;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сроков и порядка заключения контрактов;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законности внесения изменений в контракт, его расторжение;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наличия экспертизы результатов, предусмотренных контрактом</w:t>
      </w:r>
      <w:r w:rsidR="00D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(отдельного этапа) исполнения контракта, о поставленном товаре, выполненной работе или об оказанной услуге;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целевого характера использования поставленных товаров, результатов выполненных работ и оказанных услуг;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применение обеспечительных мер и мер ответственности по контракту.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 рамках проверки также анализируется информация о закупках заказчика за проверяемый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Необходимо структурировать данную информацию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Обобщение данной информации возможно в табличной форме.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4.2.1. Проверка, анализ и оценка целесообразности и обоснованности расходов на закупки.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="00D577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 формировании плана</w:t>
      </w:r>
      <w:r w:rsidR="000C0C91"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0C0C91"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графика закупок, анализ и оценка</w:t>
      </w:r>
      <w:r w:rsidRPr="006156A0">
        <w:rPr>
          <w:rFonts w:ascii="Times New Roman" w:hAnsi="Times New Roman" w:cs="Times New Roman"/>
          <w:bCs/>
          <w:sz w:val="28"/>
          <w:szCs w:val="28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 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 целесообразностью расходов на закупки понимается наличие обоснованных муниципальных нужд, необходимых для достижения целей и реализации мероприятий </w:t>
      </w:r>
      <w:r w:rsidRPr="00615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программ, выполнения установленных функций и полномочий органов местного самоуправления.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 обоснованностью расходов на закупки понимается</w:t>
      </w:r>
      <w:r w:rsidR="00D577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156A0">
        <w:rPr>
          <w:rFonts w:ascii="Times New Roman" w:hAnsi="Times New Roman" w:cs="Times New Roman"/>
          <w:bCs/>
          <w:sz w:val="28"/>
          <w:szCs w:val="28"/>
        </w:rPr>
        <w:t>наличие доведенных лимитов бюджетных обязательств (ассигнований) в соответствии с ч</w:t>
      </w:r>
      <w:r w:rsidR="000C0C91" w:rsidRPr="006156A0">
        <w:rPr>
          <w:rFonts w:ascii="Times New Roman" w:hAnsi="Times New Roman" w:cs="Times New Roman"/>
          <w:bCs/>
          <w:sz w:val="28"/>
          <w:szCs w:val="28"/>
        </w:rPr>
        <w:t>.</w:t>
      </w:r>
      <w:r w:rsidRPr="006156A0">
        <w:rPr>
          <w:rFonts w:ascii="Times New Roman" w:hAnsi="Times New Roman" w:cs="Times New Roman"/>
          <w:bCs/>
          <w:sz w:val="28"/>
          <w:szCs w:val="28"/>
        </w:rPr>
        <w:t xml:space="preserve"> 2 ст</w:t>
      </w:r>
      <w:r w:rsidR="000C0C91" w:rsidRPr="006156A0">
        <w:rPr>
          <w:rFonts w:ascii="Times New Roman" w:hAnsi="Times New Roman" w:cs="Times New Roman"/>
          <w:bCs/>
          <w:sz w:val="28"/>
          <w:szCs w:val="28"/>
        </w:rPr>
        <w:t>.</w:t>
      </w:r>
      <w:r w:rsidRPr="006156A0">
        <w:rPr>
          <w:rFonts w:ascii="Times New Roman" w:hAnsi="Times New Roman" w:cs="Times New Roman"/>
          <w:bCs/>
          <w:sz w:val="28"/>
          <w:szCs w:val="28"/>
        </w:rPr>
        <w:t xml:space="preserve"> 72 Бюджетного кодекса РФ,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наличие обоснования, в том числе с использованием правил </w:t>
      </w:r>
      <w:proofErr w:type="gramStart"/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нормирования</w:t>
      </w:r>
      <w:proofErr w:type="gramEnd"/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56A0">
        <w:rPr>
          <w:rFonts w:ascii="Times New Roman" w:hAnsi="Times New Roman" w:cs="Times New Roman"/>
          <w:bCs/>
          <w:sz w:val="28"/>
          <w:szCs w:val="28"/>
        </w:rPr>
        <w:t>В рамках мероприятия также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план-график закупок, а также равномерное распределение закупок в течение года.</w:t>
      </w:r>
      <w:proofErr w:type="gramEnd"/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4.2.2. Проверка, анализ и оценка своевременности расходов на закупки</w:t>
      </w:r>
      <w:r w:rsidR="00D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проверка своевременности расходов на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закупки заказчиком с учетом этапов планирования закупок товаров, работ, услуг (соблюдение заказчиком сроков, достаточных для реализации контракта и достижения целей осуществления закупок);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проверка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закупок,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заключения и исполнения контрактов;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 Проверка, анализ и оценка эффективности расходов на закупки</w:t>
      </w:r>
      <w:r w:rsidR="00D57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эффективностью расходов на закупки понимается </w:t>
      </w:r>
      <w:r w:rsidRPr="006156A0">
        <w:rPr>
          <w:rFonts w:ascii="Times New Roman" w:hAnsi="Times New Roman" w:cs="Times New Roman"/>
          <w:sz w:val="28"/>
          <w:szCs w:val="28"/>
        </w:rPr>
        <w:t>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анализ положений </w:t>
      </w:r>
      <w:r w:rsidR="003D640F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 44-ФЗ (п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и Бюджетного кодекса Российской Федерации (ст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ч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152, ч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3 ст</w:t>
      </w:r>
      <w:r w:rsidR="00703485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219) в части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расходования бюджетных средств на закупки заказчиками.</w:t>
      </w:r>
      <w:r w:rsidR="005D016C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5D016C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осуществления </w:t>
      </w:r>
      <w:r w:rsidRPr="006156A0">
        <w:rPr>
          <w:rFonts w:ascii="Times New Roman" w:hAnsi="Times New Roman" w:cs="Times New Roman"/>
          <w:sz w:val="28"/>
          <w:szCs w:val="28"/>
        </w:rPr>
        <w:t>муниципальных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сопоставимо с понятием эффективности расходования бюджетных средств установленного ст.34</w:t>
      </w:r>
      <w:r w:rsidR="008B6279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8B6279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8B6279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оценке эффективности расходов на закупки рекомендуется применять следующие показатели: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Потенциальная экономия бюджетных и иных средств на стадии формирования и обоснования НМЦК – это разница между НМЦК в плане-графике закупок и средними ценами контрактов, установленных другими заказчиками на идентичные (однородные) товары, работы, услуги, либо среднерыночными ценами контракта на идентичные (однородные) товары, работы, услуги (с учетом сопоставимых коммерческих и финансовых условий поставок товаров, выполнения работ, оказания услуг, включая объем закупки, гарантийные</w:t>
      </w:r>
      <w:proofErr w:type="gramEnd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обязательства, срок годности и т. п.);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Экономия бюджетных и иных сре</w:t>
      </w:r>
      <w:proofErr w:type="gramStart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дств в пр</w:t>
      </w:r>
      <w:proofErr w:type="gramEnd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оцессе осуществления закупок (определения поставщиков (исполнителей, подрядчиков) – это снижение НМЦК относительно цены заключенных контрактов: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под экономией, возникшей в результате осуществления закупок, принято понимать разность между НМЦК и ценой, предложенной победителем торгов. Подобный способ определения экономии может иметь место лишь в том случае, когда 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НМЦК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соответствует действительному положению на рынке в момент заключения контракта. Согласно ст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22 </w:t>
      </w:r>
      <w:r w:rsidR="00321E8A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 приоритетным способом определения НМЦК является метод сопоставимых рыночных цен, информация о которых может, в частности, быть получена от поставщиков (подрядчиков, исполнителей), осуществляющих поставки идентичных или однородных товаров, работ, услуг, планируемых к закупкам (ч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</w:t>
      </w:r>
      <w:r w:rsidR="00321E8A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акона№ 44-ФЗ). </w:t>
      </w:r>
      <w:proofErr w:type="gramStart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Вместе с тем велика вероятность того, что цены, сведения о которых будут предоставлены потенциальными участниками закупок, будут завышены относительно реальных рыночных цен в связи с тем, что при предоставлении информации будут учитываться такие факторы, как возможное снижение цен на торгах, вероятное повышение рыночных цен к моменту заключения и исполнения контракта и иные обстоятельства.</w:t>
      </w:r>
      <w:proofErr w:type="gramEnd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Кроме того, согласно Методическим рекомендациям, утвержденным приказом Минэкономразвития России от 2 октября 2013 г. № 567, при установлении НМЦК необходимо ориентироваться на среднее арифметическое значение цены, полученной в результате анализа рынка, а не на минимальное, что также может привести к увеличению 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НМЦК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относительно ее возможного уровня. Указанные обстоятельства свидетельствуют о том, что факт снижения цены на торгах нельзя однозначно интерпретировать как достижение экономии, полученной в результате проведения торгов;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дополнительная экономия бюджетных и иных средств, полученная по результатам осуществления закупок (определения поставщиков (исполнителей, подрядчиков) и заключения контрактов, определяется (рассчитывается) в качестве дополнительной выгоды, в том числе за счет закупок </w:t>
      </w:r>
      <w:r w:rsidRPr="006156A0">
        <w:rPr>
          <w:rFonts w:ascii="Times New Roman" w:hAnsi="Times New Roman" w:cs="Times New Roman"/>
          <w:sz w:val="28"/>
          <w:szCs w:val="28"/>
        </w:rPr>
        <w:t>инновационной и высокотехнологичной продукции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(дополнительные сервисные услуги, более высокие качественные характеристики и функциональные показатели 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продукции, более низкие последующие эксплуатационные расходы, более длительный срок гарантийного обслуживания и др.);</w:t>
      </w:r>
      <w:proofErr w:type="gramEnd"/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экономия бюджетных и иных сре</w:t>
      </w:r>
      <w:proofErr w:type="gramStart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дств пр</w:t>
      </w:r>
      <w:proofErr w:type="gramEnd"/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исполнении контрактов – это </w:t>
      </w:r>
      <w:r w:rsidRPr="006156A0">
        <w:rPr>
          <w:rFonts w:ascii="Times New Roman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 (либо поставка товара, выполнение работы, оказание услуги с лучшими потребительскими свойствами без увеличения цены контракта).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рамках оценки эффективности расходов на закупки рекомендуется рассчитать общую экономию бюджетных и иных средств на всех этапах закупки, начиная с планирования и заканчивая исполнением контрактов путем суммирования указанных показателей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Кроме того, можно оценить: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абсолютный объем экономии (в рублях) за соответствующий период (показатель рассчитывается как разница между общей суммой НМЦК и стоимостью заключенных контрактов за вычетом стоимости незаключенных контрактов и затрат на организацию и проведение процедур закупок (если такие затраты имеются);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относительный объем экономии (в процентах) за соответствующий период (показатель рассчитывается как отношение абсолютной экономии к общей сумме НМЦК).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В рамках анализа и оценки эффективности расходов на закупки целесообразно также оценивать соблюдение заказчиком принципа обеспечения конкуренции, непосредственно влияющего на эффективность осуществления закупок.</w:t>
      </w:r>
      <w:r w:rsidR="005D016C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анализе соблюдения принципа конкуренции при осуществлении закупок за отчетный период рекомендуется применять следующие показатели: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среднее количество поданных заявок на одну закупку – это отношение общего количества заявок, поданных участниками, к общему количеству процедур закупок;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среднее количество допущенных заявок на одну закупку – это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доля закупок у единственного поставщика (подрядчика, исполнителя) – это отношение закупок, осуществленных в соответствии со ст</w:t>
      </w:r>
      <w:r w:rsidR="00AC1210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93 </w:t>
      </w:r>
      <w:r w:rsidR="00321E8A"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44-ФЗ, к общему объему закупок (в стоимостном выражении).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данные показатели, рекомендуется сравнивать их со </w:t>
      </w:r>
      <w:proofErr w:type="gramStart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средними</w:t>
      </w:r>
      <w:proofErr w:type="gramEnd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Российской Федерации и (или) региону (информация ежеквартально приводится в ЕИС).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принимать во внимание изначально неконкурентные закупки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Вывод</w:t>
      </w:r>
      <w:r w:rsidR="00AC1210"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неэффективности расходов на закупки должны быть подкреплены доказательствами, в том числе: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расходование бюджетных и иных сре</w:t>
      </w:r>
      <w:proofErr w:type="gramStart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пр</w:t>
      </w:r>
      <w:proofErr w:type="gramEnd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евышением необходимого (возможного) объема затрат на получение требуемого результата: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товаров (работ, услуг) по ценам, значительно превышающим среднерыночные цены;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товаров, работ, услуг сверх норм, установленных правилами нормирования в сфере закупок, а также потребности заказчика в товаре, работе, услуге;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превышение расходов на поддержание объектов в состоянии, пригодном к эксплуатации, над стоимостью приобретения и эксплуатации новых аналогичных объектов;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работ (услуг), которые могли бы быть выполнены силами заказчика в рамках исполнения их должностных обязанностей;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расходование средств без достижения требуемого (заявленного) результата: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товаров, работ, услуг, необходимость в которых отсутствует или наступит по истечении значительного промежутка времени с момента закупки;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неиспользование приобретенного имущества в течение длительного времени (в течение года) по различным причинам (отсутствие специалистов, необходимых для эксплуатации имущества; отсутствие средств, необходимых для ввода объектов в эксплуатацию; отсутствие средств на ремонт, приобретение расходных материалов; некомплектность и т. п.);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приемка и оплата товара работ, услуг, не соответствующих установленным характеристикам по условиям муниципального контракта;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приемка и оплата фактически </w:t>
      </w:r>
      <w:proofErr w:type="spellStart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непоставленного</w:t>
      </w:r>
      <w:proofErr w:type="spellEnd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невыполненных работ, услуг;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количества и (или) ухудшение качества поставляемого товара, объема выполняемых работ, услуг при неизменной цене контракта.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примеров обстоятельств, способствующих неэффективному использованию бюджетных и иных средств, также могут рассматриваться: 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контракты условий об авансовых платежах в размере, не предусмотренном нормативными правовыми актами, неприменение механизма поэтапной приемки товаров (работ, услуг) в случаях, когда такой механизм установлен;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неприменение мер ответственности к поставщику (подрядчику, исполнителю) за неисполнение или ненадлежащее исполнение обязательств, предусмотренных контрактом;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достоверности информации, представленной участником закупки в составе заявки.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 Проверка, анализ и оценка результативности расходов на закупки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результативностью расходов на закупки понимается </w:t>
      </w:r>
      <w:r w:rsidRPr="0061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6156A0">
        <w:rPr>
          <w:rFonts w:ascii="Times New Roman" w:hAnsi="Times New Roman" w:cs="Times New Roman"/>
          <w:sz w:val="28"/>
          <w:szCs w:val="28"/>
        </w:rPr>
        <w:t xml:space="preserve"> достижения заданных результатов обеспечения муниципальных нужд (</w:t>
      </w:r>
      <w:r w:rsidRPr="00615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товаров, работ и услуг в запланированном количестве (объеме) и качестве)</w:t>
      </w:r>
      <w:r w:rsidRPr="006156A0">
        <w:rPr>
          <w:rFonts w:ascii="Times New Roman" w:hAnsi="Times New Roman" w:cs="Times New Roman"/>
          <w:sz w:val="28"/>
          <w:szCs w:val="28"/>
        </w:rPr>
        <w:t xml:space="preserve"> и целей осуществления закупок.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Оценка результативности расходов на закупки включает в себя как определение экономической результативности, так и достигнутого социально-экономического эффекта.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hAnsi="Times New Roman" w:cs="Times New Roman"/>
          <w:sz w:val="28"/>
          <w:szCs w:val="28"/>
          <w:lang w:eastAsia="ru-RU"/>
        </w:rPr>
        <w:t>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средств, которые выступают в виде конкретных товаров, работ, услуг.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6A0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закупок, на которые были использованы бюджетные средства.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4.2.5. Проверка законности расходов на закупки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 законностью расходов на закупки</w:t>
      </w:r>
      <w:r w:rsidR="005D016C"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156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понимается</w:t>
      </w:r>
      <w:r w:rsidRPr="0061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 участниками </w:t>
      </w:r>
      <w:r w:rsidRPr="006156A0">
        <w:rPr>
          <w:rFonts w:ascii="Times New Roman" w:hAnsi="Times New Roman" w:cs="Times New Roman"/>
          <w:bCs/>
          <w:sz w:val="28"/>
          <w:szCs w:val="28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1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  <w:proofErr w:type="gramEnd"/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6A0">
        <w:rPr>
          <w:rFonts w:ascii="Times New Roman" w:hAnsi="Times New Roman" w:cs="Times New Roman"/>
          <w:bCs/>
          <w:sz w:val="28"/>
          <w:szCs w:val="28"/>
        </w:rPr>
        <w:t>4.2.6. При выявлении нарушений законодательства о контрактной системе, содержащих признаки административных правонарушений в соответствии с КоАП РФ, соответствующая информация и материалы направляются в контрольные органы в сфере закупок для принятия мер реагирования (после рассмотрения результатов мероприятия).</w:t>
      </w:r>
    </w:p>
    <w:p w:rsidR="00903E3D" w:rsidRPr="006156A0" w:rsidRDefault="00903E3D" w:rsidP="006156A0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органами.</w:t>
      </w:r>
    </w:p>
    <w:p w:rsidR="00903E3D" w:rsidRPr="005D016C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71626979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>4.3. Оформление результатов аудита в сфере закупок (заключительный этап)</w:t>
      </w:r>
      <w:bookmarkEnd w:id="14"/>
    </w:p>
    <w:p w:rsidR="005D016C" w:rsidRPr="005D016C" w:rsidRDefault="005D016C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E3D" w:rsidRPr="00E12396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результатов аудита в сфере закупок (заключительный</w:t>
      </w:r>
      <w:r w:rsidRPr="00E1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 производится путем обобщения результатов проведения аудита в соответствии с проведенным мероприятием.</w:t>
      </w:r>
    </w:p>
    <w:p w:rsidR="00903E3D" w:rsidRPr="00E12396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экспертно-аналитического мероприятия оформляются в виде заключения в соответствии с Регламентом КСП г. Пскова.</w:t>
      </w:r>
    </w:p>
    <w:p w:rsidR="00903E3D" w:rsidRPr="00E12396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мероприятия оформляются в виде акта в соответствии с Регламентом КСП г. Пскова.</w:t>
      </w:r>
    </w:p>
    <w:p w:rsidR="00903E3D" w:rsidRPr="00E12396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Результаты аудита в сфере закупок, проводимых в виде отдельного вопроса в рамках контрольных или экспертно-аналитических мероприятий, оформляются документом в соответствии с проводимым мероприятием. </w:t>
      </w:r>
    </w:p>
    <w:p w:rsidR="00903E3D" w:rsidRDefault="00903E3D" w:rsidP="0090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оформления проведения аудита в сфере закупок результаты оформляются в виде </w:t>
      </w:r>
      <w:r w:rsidR="0083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Отчета о результатах аудита в сфере закупок</w:t>
      </w:r>
      <w:r w:rsidR="0083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1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к Стандарту).</w:t>
      </w:r>
    </w:p>
    <w:p w:rsidR="00903E3D" w:rsidRPr="005D016C" w:rsidRDefault="00903E3D" w:rsidP="005D01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5" w:name="_Toc71626980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>5. Формирование и размещение обобщенной информации о результатах аудита</w:t>
      </w:r>
      <w:r w:rsidR="005D016C" w:rsidRPr="005D016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5D016C">
        <w:rPr>
          <w:rFonts w:ascii="Times New Roman" w:eastAsia="Times New Roman" w:hAnsi="Times New Roman" w:cs="Times New Roman"/>
          <w:color w:val="auto"/>
          <w:lang w:eastAsia="ru-RU"/>
        </w:rPr>
        <w:t xml:space="preserve">в сфере закупок в </w:t>
      </w:r>
      <w:r w:rsidR="000A2292" w:rsidRPr="005D016C">
        <w:rPr>
          <w:rFonts w:ascii="Times New Roman" w:eastAsia="Times New Roman" w:hAnsi="Times New Roman" w:cs="Times New Roman"/>
          <w:color w:val="auto"/>
          <w:lang w:eastAsia="ru-RU"/>
        </w:rPr>
        <w:t>ЕИС</w:t>
      </w:r>
      <w:bookmarkEnd w:id="15"/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палата города Пскова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</w:t>
      </w:r>
      <w:r w:rsidR="000A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7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обобщенную информацию о таких результатах.</w:t>
      </w:r>
      <w:proofErr w:type="gramEnd"/>
    </w:p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396" w:rsidRDefault="00E12396" w:rsidP="00903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396" w:rsidRDefault="00E12396" w:rsidP="00903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77EE" w:rsidRDefault="00D577EE" w:rsidP="005D016C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903E3D" w:rsidRPr="005D016C" w:rsidRDefault="00903E3D" w:rsidP="005D016C">
      <w:pPr>
        <w:pStyle w:val="1"/>
        <w:jc w:val="right"/>
        <w:rPr>
          <w:rFonts w:ascii="Times New Roman" w:eastAsia="Calibri" w:hAnsi="Times New Roman" w:cs="Times New Roman"/>
          <w:color w:val="auto"/>
        </w:rPr>
      </w:pPr>
      <w:bookmarkStart w:id="16" w:name="_Toc71626981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Приложение</w:t>
      </w:r>
      <w:bookmarkEnd w:id="16"/>
      <w:r w:rsidRPr="005D016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903E3D" w:rsidRPr="00756163" w:rsidRDefault="00903E3D" w:rsidP="00903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E3D" w:rsidRDefault="00903E3D" w:rsidP="0090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03E3D" w:rsidRPr="00756163" w:rsidRDefault="00903E3D" w:rsidP="0090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3600"/>
      </w:tblGrid>
      <w:tr w:rsidR="00903E3D" w:rsidRPr="00756163" w:rsidTr="006156A0">
        <w:tc>
          <w:tcPr>
            <w:tcW w:w="828" w:type="dxa"/>
            <w:shd w:val="clear" w:color="auto" w:fill="auto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903E3D" w:rsidRPr="00756163" w:rsidTr="006156A0">
        <w:tc>
          <w:tcPr>
            <w:tcW w:w="9828" w:type="dxa"/>
            <w:gridSpan w:val="3"/>
            <w:shd w:val="clear" w:color="auto" w:fill="D9D9D9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903E3D" w:rsidRPr="00756163" w:rsidTr="006156A0">
        <w:trPr>
          <w:trHeight w:val="598"/>
        </w:trPr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61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Общее количество и сумма контрактов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7561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проверенных 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контрактов и сумма (тыс.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9828" w:type="dxa"/>
            <w:gridSpan w:val="3"/>
            <w:shd w:val="clear" w:color="auto" w:fill="D9D9D9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903E3D" w:rsidRPr="00756163" w:rsidTr="006156A0">
        <w:trPr>
          <w:trHeight w:val="273"/>
        </w:trPr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</w:t>
            </w:r>
          </w:p>
        </w:tc>
      </w:tr>
      <w:tr w:rsidR="00903E3D" w:rsidRPr="00756163" w:rsidTr="006156A0">
        <w:trPr>
          <w:trHeight w:val="558"/>
        </w:trPr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(план-график закупок, обоснование закупки)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rPr>
          <w:trHeight w:val="727"/>
        </w:trPr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(законность внесения изменений, порядок расторжения, экспертиза результатов, отчет о результатах, своевременность действий, 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</w:t>
            </w:r>
            <w:r w:rsidR="00101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закупок и сумма (тыс. рублей)</w:t>
            </w:r>
          </w:p>
        </w:tc>
      </w:tr>
      <w:tr w:rsidR="00903E3D" w:rsidRPr="00756163" w:rsidTr="006156A0">
        <w:tc>
          <w:tcPr>
            <w:tcW w:w="9828" w:type="dxa"/>
            <w:gridSpan w:val="3"/>
            <w:shd w:val="clear" w:color="auto" w:fill="D9D9D9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75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направленных представлений (предписаний)</w:t>
            </w:r>
          </w:p>
        </w:tc>
      </w:tr>
      <w:tr w:rsidR="00903E3D" w:rsidRPr="00756163" w:rsidTr="006156A0">
        <w:trPr>
          <w:trHeight w:val="754"/>
        </w:trPr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контрольные, надзорные и </w:t>
            </w:r>
            <w:r w:rsidRPr="0075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правоохранительные органы</w:t>
            </w:r>
            <w:r w:rsidRPr="007561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75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Pr="0075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направленных обращений</w:t>
            </w:r>
          </w:p>
        </w:tc>
      </w:tr>
      <w:tr w:rsidR="00903E3D" w:rsidRPr="00756163" w:rsidTr="006156A0">
        <w:trPr>
          <w:trHeight w:val="327"/>
        </w:trPr>
        <w:tc>
          <w:tcPr>
            <w:tcW w:w="9828" w:type="dxa"/>
            <w:gridSpan w:val="3"/>
            <w:shd w:val="clear" w:color="auto" w:fill="D9D9D9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ричин 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установленные причины</w:t>
            </w:r>
          </w:p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(действия должностных лиц, недостаток методического обеспечения, правовые «пробелы» и т. д.)</w:t>
            </w:r>
          </w:p>
        </w:tc>
      </w:tr>
      <w:tr w:rsidR="00903E3D" w:rsidRPr="00756163" w:rsidTr="006156A0">
        <w:tc>
          <w:tcPr>
            <w:tcW w:w="9828" w:type="dxa"/>
            <w:gridSpan w:val="3"/>
            <w:shd w:val="clear" w:color="auto" w:fill="D9D9D9"/>
            <w:vAlign w:val="center"/>
          </w:tcPr>
          <w:p w:rsidR="00903E3D" w:rsidRPr="00756163" w:rsidRDefault="00903E3D" w:rsidP="0061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903E3D" w:rsidRPr="00756163" w:rsidTr="006156A0">
        <w:tc>
          <w:tcPr>
            <w:tcW w:w="828" w:type="dxa"/>
          </w:tcPr>
          <w:p w:rsidR="00903E3D" w:rsidRPr="00756163" w:rsidRDefault="00903E3D" w:rsidP="0061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3600" w:type="dxa"/>
            <w:vAlign w:val="center"/>
          </w:tcPr>
          <w:p w:rsidR="00903E3D" w:rsidRPr="00756163" w:rsidRDefault="00903E3D" w:rsidP="00615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6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Указываются предложения </w:t>
            </w:r>
          </w:p>
        </w:tc>
      </w:tr>
    </w:tbl>
    <w:p w:rsidR="00903E3D" w:rsidRPr="00756163" w:rsidRDefault="00903E3D" w:rsidP="0090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03E3D" w:rsidRPr="00756163" w:rsidRDefault="00903E3D" w:rsidP="00903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03E3D" w:rsidRDefault="00903E3D" w:rsidP="00903E3D"/>
    <w:p w:rsidR="00510774" w:rsidRDefault="00510774"/>
    <w:p w:rsidR="0073560B" w:rsidRDefault="0073560B"/>
    <w:p w:rsidR="0073560B" w:rsidRDefault="0073560B"/>
    <w:p w:rsidR="0073560B" w:rsidRDefault="0073560B"/>
    <w:p w:rsidR="0073560B" w:rsidRDefault="0073560B"/>
    <w:p w:rsidR="0073560B" w:rsidRDefault="0073560B"/>
    <w:sectPr w:rsidR="0073560B" w:rsidSect="006156A0">
      <w:pgSz w:w="11906" w:h="16838" w:code="9"/>
      <w:pgMar w:top="851" w:right="849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5D" w:rsidRDefault="00230C5D" w:rsidP="00370FA2">
      <w:pPr>
        <w:spacing w:after="0" w:line="240" w:lineRule="auto"/>
      </w:pPr>
      <w:r>
        <w:separator/>
      </w:r>
    </w:p>
  </w:endnote>
  <w:endnote w:type="continuationSeparator" w:id="0">
    <w:p w:rsidR="00230C5D" w:rsidRDefault="00230C5D" w:rsidP="0037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0" w:rsidRDefault="006156A0" w:rsidP="006156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6A0" w:rsidRDefault="006156A0" w:rsidP="006156A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991172"/>
      <w:docPartObj>
        <w:docPartGallery w:val="Page Numbers (Bottom of Page)"/>
        <w:docPartUnique/>
      </w:docPartObj>
    </w:sdtPr>
    <w:sdtContent>
      <w:p w:rsidR="00016669" w:rsidRDefault="000166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156A0" w:rsidRDefault="006156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0" w:rsidRDefault="006156A0">
    <w:pPr>
      <w:pStyle w:val="a5"/>
      <w:jc w:val="center"/>
    </w:pPr>
  </w:p>
  <w:p w:rsidR="006156A0" w:rsidRDefault="00615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5D" w:rsidRDefault="00230C5D" w:rsidP="00370FA2">
      <w:pPr>
        <w:spacing w:after="0" w:line="240" w:lineRule="auto"/>
      </w:pPr>
      <w:r>
        <w:separator/>
      </w:r>
    </w:p>
  </w:footnote>
  <w:footnote w:type="continuationSeparator" w:id="0">
    <w:p w:rsidR="00230C5D" w:rsidRDefault="00230C5D" w:rsidP="0037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0" w:rsidRDefault="006156A0" w:rsidP="006156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6A0" w:rsidRDefault="006156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0" w:rsidRDefault="006156A0">
    <w:pPr>
      <w:pStyle w:val="a3"/>
      <w:jc w:val="center"/>
    </w:pPr>
  </w:p>
  <w:p w:rsidR="006156A0" w:rsidRDefault="006156A0" w:rsidP="006156A0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E3D"/>
    <w:rsid w:val="00016669"/>
    <w:rsid w:val="000343AE"/>
    <w:rsid w:val="000A2292"/>
    <w:rsid w:val="000C0C91"/>
    <w:rsid w:val="001018FB"/>
    <w:rsid w:val="00110E17"/>
    <w:rsid w:val="00230C5D"/>
    <w:rsid w:val="002A3EEF"/>
    <w:rsid w:val="00321E8A"/>
    <w:rsid w:val="00370FA2"/>
    <w:rsid w:val="003D640F"/>
    <w:rsid w:val="00510774"/>
    <w:rsid w:val="00520594"/>
    <w:rsid w:val="00567B83"/>
    <w:rsid w:val="005D016C"/>
    <w:rsid w:val="006156A0"/>
    <w:rsid w:val="00641C27"/>
    <w:rsid w:val="00703485"/>
    <w:rsid w:val="0073560B"/>
    <w:rsid w:val="007D703C"/>
    <w:rsid w:val="007F2601"/>
    <w:rsid w:val="008306F8"/>
    <w:rsid w:val="008B6279"/>
    <w:rsid w:val="00903E3D"/>
    <w:rsid w:val="00935FC3"/>
    <w:rsid w:val="00973C20"/>
    <w:rsid w:val="009A0321"/>
    <w:rsid w:val="009C33FE"/>
    <w:rsid w:val="00AC1210"/>
    <w:rsid w:val="00B0516E"/>
    <w:rsid w:val="00C25E3F"/>
    <w:rsid w:val="00C84D52"/>
    <w:rsid w:val="00CB7CBB"/>
    <w:rsid w:val="00CE4310"/>
    <w:rsid w:val="00D577EE"/>
    <w:rsid w:val="00E12396"/>
    <w:rsid w:val="00F5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D"/>
  </w:style>
  <w:style w:type="paragraph" w:styleId="1">
    <w:name w:val="heading 1"/>
    <w:basedOn w:val="a"/>
    <w:next w:val="a"/>
    <w:link w:val="10"/>
    <w:uiPriority w:val="9"/>
    <w:qFormat/>
    <w:rsid w:val="005D0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E3D"/>
  </w:style>
  <w:style w:type="paragraph" w:styleId="a5">
    <w:name w:val="footer"/>
    <w:basedOn w:val="a"/>
    <w:link w:val="a6"/>
    <w:uiPriority w:val="99"/>
    <w:unhideWhenUsed/>
    <w:rsid w:val="0090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E3D"/>
  </w:style>
  <w:style w:type="character" w:styleId="a7">
    <w:name w:val="page number"/>
    <w:basedOn w:val="a0"/>
    <w:rsid w:val="00903E3D"/>
  </w:style>
  <w:style w:type="character" w:customStyle="1" w:styleId="10">
    <w:name w:val="Заголовок 1 Знак"/>
    <w:basedOn w:val="a0"/>
    <w:link w:val="1"/>
    <w:uiPriority w:val="9"/>
    <w:rsid w:val="005D01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D016C"/>
    <w:pPr>
      <w:spacing w:line="276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5D016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5D016C"/>
    <w:pPr>
      <w:spacing w:after="100"/>
    </w:pPr>
  </w:style>
  <w:style w:type="character" w:styleId="a9">
    <w:name w:val="Hyperlink"/>
    <w:basedOn w:val="a0"/>
    <w:uiPriority w:val="99"/>
    <w:unhideWhenUsed/>
    <w:rsid w:val="005D01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16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56A0"/>
    <w:pPr>
      <w:spacing w:after="0" w:line="240" w:lineRule="auto"/>
    </w:pPr>
  </w:style>
  <w:style w:type="table" w:styleId="ad">
    <w:name w:val="Table Grid"/>
    <w:basedOn w:val="a1"/>
    <w:uiPriority w:val="39"/>
    <w:rsid w:val="000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7051-4B59-4FD8-A74D-556E7E9E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19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2021-05-11T09:03:00Z</cp:lastPrinted>
  <dcterms:created xsi:type="dcterms:W3CDTF">2021-03-29T07:02:00Z</dcterms:created>
  <dcterms:modified xsi:type="dcterms:W3CDTF">2021-05-11T09:04:00Z</dcterms:modified>
</cp:coreProperties>
</file>