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70" w:rsidRDefault="00B82070" w:rsidP="00B82070">
      <w:pPr>
        <w:widowControl w:val="0"/>
        <w:tabs>
          <w:tab w:val="left" w:pos="364"/>
        </w:tabs>
        <w:autoSpaceDE w:val="0"/>
        <w:autoSpaceDN w:val="0"/>
        <w:jc w:val="center"/>
        <w:rPr>
          <w:sz w:val="28"/>
          <w:szCs w:val="28"/>
        </w:rPr>
      </w:pPr>
      <w:r>
        <w:rPr>
          <w:sz w:val="28"/>
          <w:szCs w:val="28"/>
        </w:rPr>
        <w:t>ПСКОВСКАЯ ГОРОДСКАЯ ДУМА</w:t>
      </w:r>
    </w:p>
    <w:p w:rsidR="00B82070" w:rsidRDefault="00B82070" w:rsidP="00B82070">
      <w:pPr>
        <w:widowControl w:val="0"/>
        <w:tabs>
          <w:tab w:val="left" w:pos="364"/>
        </w:tabs>
        <w:autoSpaceDE w:val="0"/>
        <w:autoSpaceDN w:val="0"/>
        <w:jc w:val="center"/>
        <w:rPr>
          <w:sz w:val="28"/>
          <w:szCs w:val="28"/>
        </w:rPr>
      </w:pPr>
    </w:p>
    <w:p w:rsidR="00B82070" w:rsidRDefault="00B82070" w:rsidP="00B82070">
      <w:pPr>
        <w:widowControl w:val="0"/>
        <w:tabs>
          <w:tab w:val="left" w:pos="364"/>
        </w:tabs>
        <w:autoSpaceDE w:val="0"/>
        <w:autoSpaceDN w:val="0"/>
        <w:jc w:val="center"/>
        <w:rPr>
          <w:sz w:val="28"/>
          <w:szCs w:val="28"/>
        </w:rPr>
      </w:pPr>
      <w:r>
        <w:rPr>
          <w:sz w:val="28"/>
          <w:szCs w:val="28"/>
        </w:rPr>
        <w:t>РЕШЕНИЕ</w:t>
      </w:r>
    </w:p>
    <w:p w:rsidR="00B82070" w:rsidRDefault="00B82070" w:rsidP="00B82070">
      <w:pPr>
        <w:widowControl w:val="0"/>
        <w:tabs>
          <w:tab w:val="left" w:pos="364"/>
        </w:tabs>
        <w:autoSpaceDE w:val="0"/>
        <w:autoSpaceDN w:val="0"/>
        <w:rPr>
          <w:sz w:val="28"/>
          <w:szCs w:val="28"/>
        </w:rPr>
      </w:pPr>
    </w:p>
    <w:p w:rsidR="00B82070" w:rsidRDefault="00B82070" w:rsidP="00B82070">
      <w:pPr>
        <w:widowControl w:val="0"/>
        <w:tabs>
          <w:tab w:val="left" w:pos="364"/>
        </w:tabs>
        <w:autoSpaceDE w:val="0"/>
        <w:autoSpaceDN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82070" w:rsidRDefault="00B82070" w:rsidP="00B82070">
      <w:pPr>
        <w:widowControl w:val="0"/>
        <w:tabs>
          <w:tab w:val="left" w:pos="364"/>
        </w:tabs>
        <w:autoSpaceDE w:val="0"/>
        <w:autoSpaceDN w:val="0"/>
        <w:adjustRightInd w:val="0"/>
        <w:rPr>
          <w:bCs/>
        </w:rPr>
      </w:pPr>
      <w:r>
        <w:rPr>
          <w:bCs/>
        </w:rPr>
        <w:t>№ 2358 от «25» мая 2017 г.</w:t>
      </w:r>
    </w:p>
    <w:p w:rsidR="00B82070" w:rsidRDefault="00B82070" w:rsidP="00B82070">
      <w:pPr>
        <w:widowControl w:val="0"/>
        <w:tabs>
          <w:tab w:val="left" w:pos="364"/>
        </w:tabs>
        <w:autoSpaceDE w:val="0"/>
        <w:autoSpaceDN w:val="0"/>
        <w:adjustRightInd w:val="0"/>
        <w:rPr>
          <w:b/>
          <w:bCs/>
        </w:rPr>
      </w:pPr>
    </w:p>
    <w:p w:rsidR="00B82070" w:rsidRDefault="00B82070" w:rsidP="00B82070">
      <w:pPr>
        <w:widowControl w:val="0"/>
        <w:tabs>
          <w:tab w:val="left" w:pos="364"/>
        </w:tabs>
        <w:autoSpaceDE w:val="0"/>
        <w:autoSpaceDN w:val="0"/>
        <w:adjustRightInd w:val="0"/>
        <w:rPr>
          <w:bCs/>
        </w:rPr>
      </w:pPr>
      <w:r>
        <w:rPr>
          <w:bCs/>
        </w:rPr>
        <w:t>Принято на 83-й сессии</w:t>
      </w:r>
    </w:p>
    <w:p w:rsidR="00B82070" w:rsidRDefault="00B82070" w:rsidP="00B82070">
      <w:pPr>
        <w:widowControl w:val="0"/>
        <w:tabs>
          <w:tab w:val="left" w:pos="364"/>
        </w:tabs>
        <w:autoSpaceDE w:val="0"/>
        <w:autoSpaceDN w:val="0"/>
        <w:adjustRightInd w:val="0"/>
        <w:rPr>
          <w:bCs/>
        </w:rPr>
      </w:pPr>
      <w:r>
        <w:rPr>
          <w:bCs/>
        </w:rPr>
        <w:t>Псковской городской Думы</w:t>
      </w:r>
    </w:p>
    <w:p w:rsidR="00B82070" w:rsidRDefault="00B82070" w:rsidP="00B82070">
      <w:pPr>
        <w:widowControl w:val="0"/>
        <w:tabs>
          <w:tab w:val="left" w:pos="364"/>
        </w:tabs>
        <w:autoSpaceDE w:val="0"/>
        <w:autoSpaceDN w:val="0"/>
        <w:adjustRightInd w:val="0"/>
        <w:rPr>
          <w:bCs/>
        </w:rPr>
      </w:pPr>
      <w:r>
        <w:rPr>
          <w:bCs/>
          <w:sz w:val="28"/>
          <w:szCs w:val="28"/>
        </w:rPr>
        <w:t>5-го созыва</w:t>
      </w:r>
    </w:p>
    <w:p w:rsidR="000A62B8" w:rsidRPr="00F433E9" w:rsidRDefault="000A62B8" w:rsidP="000A62B8">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0A62B8" w:rsidRPr="00F433E9" w:rsidRDefault="000A62B8" w:rsidP="000A62B8">
      <w:pPr>
        <w:pStyle w:val="ConsPlusTitle"/>
        <w:tabs>
          <w:tab w:val="left" w:pos="364"/>
        </w:tabs>
        <w:rPr>
          <w:rFonts w:ascii="Times New Roman" w:hAnsi="Times New Roman" w:cs="Times New Roman"/>
          <w:b w:val="0"/>
          <w:sz w:val="24"/>
          <w:szCs w:val="24"/>
        </w:rPr>
      </w:pPr>
    </w:p>
    <w:p w:rsidR="00831DDE" w:rsidRPr="00831DDE" w:rsidRDefault="00831DDE" w:rsidP="00831DDE">
      <w:pPr>
        <w:jc w:val="both"/>
        <w:rPr>
          <w:bCs/>
        </w:rPr>
      </w:pPr>
      <w:r w:rsidRPr="00831DDE">
        <w:rPr>
          <w:bCs/>
        </w:rPr>
        <w:t xml:space="preserve">Об отчете председателя Комитета по </w:t>
      </w:r>
      <w:proofErr w:type="gramStart"/>
      <w:r w:rsidRPr="00831DDE">
        <w:rPr>
          <w:bCs/>
        </w:rPr>
        <w:t>жилищно-коммунальному</w:t>
      </w:r>
      <w:proofErr w:type="gramEnd"/>
    </w:p>
    <w:p w:rsidR="00831DDE" w:rsidRPr="00831DDE" w:rsidRDefault="00831DDE" w:rsidP="00831DDE">
      <w:pPr>
        <w:jc w:val="both"/>
        <w:rPr>
          <w:bCs/>
        </w:rPr>
      </w:pPr>
      <w:r w:rsidRPr="00831DDE">
        <w:rPr>
          <w:bCs/>
        </w:rPr>
        <w:t>хозяйству и благоустройству Псковской городской Думы</w:t>
      </w:r>
    </w:p>
    <w:p w:rsidR="00831DDE" w:rsidRPr="00831DDE" w:rsidRDefault="00831DDE" w:rsidP="00831DDE">
      <w:pPr>
        <w:jc w:val="both"/>
        <w:rPr>
          <w:bCs/>
        </w:rPr>
      </w:pPr>
      <w:r w:rsidRPr="00831DDE">
        <w:rPr>
          <w:bCs/>
        </w:rPr>
        <w:t>5-го созыва за период с 16 мая 2016 года  по 15 мая 2017 года</w:t>
      </w:r>
    </w:p>
    <w:p w:rsidR="000B22EA" w:rsidRPr="000B22EA" w:rsidRDefault="000B22EA" w:rsidP="000B22EA">
      <w:pPr>
        <w:jc w:val="both"/>
        <w:rPr>
          <w:bCs/>
        </w:rPr>
      </w:pPr>
    </w:p>
    <w:p w:rsidR="00222349" w:rsidRPr="00222349" w:rsidRDefault="00222349" w:rsidP="009D37D4">
      <w:pPr>
        <w:jc w:val="both"/>
      </w:pPr>
    </w:p>
    <w:p w:rsidR="000A62B8" w:rsidRPr="00347B12" w:rsidRDefault="000A62B8" w:rsidP="000A62B8">
      <w:pPr>
        <w:tabs>
          <w:tab w:val="left" w:pos="364"/>
        </w:tabs>
        <w:rPr>
          <w:rFonts w:eastAsia="Calibri"/>
          <w:lang w:eastAsia="en-US"/>
        </w:rPr>
      </w:pPr>
    </w:p>
    <w:p w:rsidR="009867D2" w:rsidRPr="009A4E5A" w:rsidRDefault="009867D2" w:rsidP="000A62B8">
      <w:pPr>
        <w:tabs>
          <w:tab w:val="left" w:pos="364"/>
        </w:tabs>
        <w:rPr>
          <w:rFonts w:eastAsia="Calibri"/>
          <w:lang w:eastAsia="en-US"/>
        </w:rPr>
      </w:pPr>
    </w:p>
    <w:p w:rsidR="000A62B8" w:rsidRPr="00E660CC" w:rsidRDefault="00831DDE" w:rsidP="000A62B8">
      <w:pPr>
        <w:tabs>
          <w:tab w:val="left" w:pos="364"/>
        </w:tabs>
        <w:ind w:firstLine="709"/>
        <w:jc w:val="both"/>
        <w:rPr>
          <w:rFonts w:eastAsia="Calibri"/>
          <w:lang w:eastAsia="en-US"/>
        </w:rPr>
      </w:pPr>
      <w:proofErr w:type="gramStart"/>
      <w:r w:rsidRPr="00831DDE">
        <w:rPr>
          <w:bCs/>
        </w:rPr>
        <w:t>Заслушав и обсудив представленный председателем Комитета по жилищно-коммунальному хозяйству и благоустройству Псковской городской Думы 5-го созыва Гавриловым С.В. отчет о работе Комитета по жилищно-коммунальному хозяйству и благоустройству Псковской городской Думы 5-го созыва за период с 16 мая 2016 года по 15 мая 2017 года, руководствуясь статьей 23 Устава муниципального образования «Город Псков», Регламентом Псковской городской Думы</w:t>
      </w:r>
      <w:r w:rsidR="00CC1507" w:rsidRPr="00E660CC">
        <w:t>,</w:t>
      </w:r>
      <w:proofErr w:type="gramEnd"/>
    </w:p>
    <w:p w:rsidR="000A62B8" w:rsidRPr="009A4E5A" w:rsidRDefault="000A62B8" w:rsidP="000A62B8">
      <w:pPr>
        <w:tabs>
          <w:tab w:val="left" w:pos="364"/>
        </w:tabs>
        <w:ind w:firstLine="709"/>
        <w:jc w:val="both"/>
        <w:rPr>
          <w:rFonts w:eastAsia="Calibri"/>
          <w:lang w:eastAsia="en-US"/>
        </w:rPr>
      </w:pPr>
    </w:p>
    <w:p w:rsidR="000A62B8" w:rsidRPr="009A4E5A" w:rsidRDefault="000A62B8" w:rsidP="000A62B8">
      <w:pPr>
        <w:tabs>
          <w:tab w:val="left" w:pos="364"/>
        </w:tabs>
        <w:jc w:val="center"/>
        <w:rPr>
          <w:rFonts w:eastAsia="Calibri"/>
          <w:b/>
          <w:lang w:eastAsia="en-US"/>
        </w:rPr>
      </w:pPr>
      <w:r w:rsidRPr="009A4E5A">
        <w:rPr>
          <w:rFonts w:eastAsia="Calibri"/>
          <w:b/>
          <w:lang w:eastAsia="en-US"/>
        </w:rPr>
        <w:t>Псковская городская Дума</w:t>
      </w:r>
    </w:p>
    <w:p w:rsidR="000A62B8" w:rsidRPr="009A4E5A" w:rsidRDefault="000A62B8" w:rsidP="000A62B8">
      <w:pPr>
        <w:tabs>
          <w:tab w:val="left" w:pos="364"/>
        </w:tabs>
        <w:spacing w:after="200" w:line="276" w:lineRule="auto"/>
        <w:jc w:val="center"/>
        <w:rPr>
          <w:rFonts w:eastAsia="Calibri"/>
          <w:b/>
          <w:lang w:eastAsia="en-US"/>
        </w:rPr>
      </w:pPr>
      <w:r w:rsidRPr="009A4E5A">
        <w:rPr>
          <w:rFonts w:eastAsia="Calibri"/>
          <w:b/>
          <w:lang w:eastAsia="en-US"/>
        </w:rPr>
        <w:t>РЕШИЛА</w:t>
      </w:r>
    </w:p>
    <w:p w:rsidR="00831DDE" w:rsidRPr="00831DDE" w:rsidRDefault="00E660CC" w:rsidP="00831DDE">
      <w:pPr>
        <w:ind w:firstLine="709"/>
        <w:jc w:val="both"/>
        <w:rPr>
          <w:bCs/>
        </w:rPr>
      </w:pPr>
      <w:r w:rsidRPr="00E660CC">
        <w:t xml:space="preserve">1. </w:t>
      </w:r>
      <w:r w:rsidR="00831DDE" w:rsidRPr="00831DDE">
        <w:rPr>
          <w:bCs/>
        </w:rPr>
        <w:t>Утвердить отчет о работе Комитета по жилищно-коммунальному хозяйству и благоустройству Псковской городской Думы 5-го созыва за период с 16 мая 2016 года по 15 мая 2017 года согласно Приложению к Решению.</w:t>
      </w:r>
    </w:p>
    <w:p w:rsidR="00831DDE" w:rsidRPr="00831DDE" w:rsidRDefault="00831DDE" w:rsidP="00831DDE">
      <w:pPr>
        <w:ind w:firstLine="709"/>
        <w:jc w:val="both"/>
        <w:rPr>
          <w:bCs/>
        </w:rPr>
      </w:pPr>
      <w:r w:rsidRPr="00831DDE">
        <w:rPr>
          <w:bCs/>
        </w:rPr>
        <w:t>2. Настоящее Решение вступает в силу с момента его подписания Главой города Пскова.</w:t>
      </w:r>
    </w:p>
    <w:p w:rsidR="00E660CC" w:rsidRPr="00E660CC" w:rsidRDefault="00831DDE" w:rsidP="00831DDE">
      <w:pPr>
        <w:ind w:firstLine="709"/>
        <w:jc w:val="both"/>
      </w:pPr>
      <w:r w:rsidRPr="00831DDE">
        <w:rPr>
          <w:bCs/>
        </w:rPr>
        <w:t>3. Настоящее Решение опубликовать в газете «Псковские Новости» и разместить на официальном сайте муниципального образования «Город Псков»</w:t>
      </w:r>
      <w:r w:rsidR="00E660CC" w:rsidRPr="00E660CC">
        <w:t>.</w:t>
      </w:r>
    </w:p>
    <w:p w:rsidR="005B72EB" w:rsidRDefault="005B72EB" w:rsidP="00E660CC">
      <w:pPr>
        <w:spacing w:after="200" w:line="276" w:lineRule="auto"/>
      </w:pPr>
    </w:p>
    <w:p w:rsidR="005B72EB" w:rsidRDefault="005B72EB" w:rsidP="00E660CC">
      <w:pPr>
        <w:spacing w:after="200" w:line="276" w:lineRule="auto"/>
      </w:pPr>
    </w:p>
    <w:p w:rsidR="005B72EB" w:rsidRDefault="005B72EB" w:rsidP="00E660CC">
      <w:pPr>
        <w:spacing w:after="200" w:line="276" w:lineRule="auto"/>
      </w:pPr>
    </w:p>
    <w:p w:rsidR="005B72EB" w:rsidRDefault="005B72EB" w:rsidP="00E660CC">
      <w:pPr>
        <w:spacing w:after="200" w:line="276" w:lineRule="auto"/>
      </w:pPr>
    </w:p>
    <w:p w:rsidR="005B72EB" w:rsidRPr="005B72EB" w:rsidRDefault="005B72EB" w:rsidP="005B72EB">
      <w:pPr>
        <w:spacing w:after="200" w:line="276" w:lineRule="auto"/>
      </w:pPr>
      <w:r w:rsidRPr="005B72EB">
        <w:t xml:space="preserve">Глава города Пскова                                                                </w:t>
      </w:r>
      <w:r w:rsidRPr="005B72EB">
        <w:tab/>
      </w:r>
      <w:r w:rsidRPr="005B72EB">
        <w:tab/>
      </w:r>
      <w:r w:rsidRPr="005B72EB">
        <w:tab/>
        <w:t>И.Н. Цецерский</w:t>
      </w:r>
    </w:p>
    <w:p w:rsidR="00E660CC" w:rsidRDefault="00E660CC" w:rsidP="00E660CC">
      <w:pPr>
        <w:spacing w:after="200" w:line="276" w:lineRule="auto"/>
      </w:pPr>
      <w:r>
        <w:br w:type="page"/>
      </w:r>
    </w:p>
    <w:p w:rsidR="00831DDE" w:rsidRPr="00831DDE" w:rsidRDefault="00831DDE" w:rsidP="00831DDE">
      <w:pPr>
        <w:jc w:val="right"/>
        <w:rPr>
          <w:rFonts w:eastAsia="Calibri"/>
        </w:rPr>
      </w:pPr>
      <w:r w:rsidRPr="00831DDE">
        <w:rPr>
          <w:rFonts w:eastAsia="Calibri"/>
        </w:rPr>
        <w:lastRenderedPageBreak/>
        <w:t xml:space="preserve">Приложение к Решению </w:t>
      </w:r>
    </w:p>
    <w:p w:rsidR="00831DDE" w:rsidRPr="00831DDE" w:rsidRDefault="00831DDE" w:rsidP="00831DDE">
      <w:pPr>
        <w:jc w:val="right"/>
        <w:rPr>
          <w:rFonts w:eastAsia="Calibri"/>
        </w:rPr>
      </w:pPr>
      <w:r w:rsidRPr="00831DDE">
        <w:rPr>
          <w:rFonts w:eastAsia="Calibri"/>
        </w:rPr>
        <w:t xml:space="preserve">Псковской  городской Думы  </w:t>
      </w:r>
    </w:p>
    <w:p w:rsidR="00831DDE" w:rsidRPr="00831DDE" w:rsidRDefault="000568C9" w:rsidP="00831DDE">
      <w:pPr>
        <w:jc w:val="right"/>
        <w:rPr>
          <w:rFonts w:eastAsia="Calibri"/>
        </w:rPr>
      </w:pPr>
      <w:r>
        <w:rPr>
          <w:rFonts w:eastAsia="Calibri"/>
        </w:rPr>
        <w:t>от  25.05.2017 № 2358</w:t>
      </w:r>
      <w:bookmarkStart w:id="0" w:name="_GoBack"/>
      <w:bookmarkEnd w:id="0"/>
    </w:p>
    <w:p w:rsidR="00831DDE" w:rsidRPr="00831DDE" w:rsidRDefault="00831DDE" w:rsidP="00831DDE">
      <w:pPr>
        <w:jc w:val="right"/>
        <w:rPr>
          <w:rFonts w:eastAsia="Calibri"/>
        </w:rPr>
      </w:pPr>
    </w:p>
    <w:p w:rsidR="00831DDE" w:rsidRPr="00831DDE" w:rsidRDefault="00831DDE" w:rsidP="00831DDE">
      <w:pPr>
        <w:jc w:val="right"/>
        <w:rPr>
          <w:rFonts w:eastAsia="Calibri"/>
        </w:rPr>
      </w:pPr>
    </w:p>
    <w:p w:rsidR="00831DDE" w:rsidRPr="00831DDE" w:rsidRDefault="00831DDE" w:rsidP="00831DDE">
      <w:pPr>
        <w:jc w:val="right"/>
        <w:rPr>
          <w:rFonts w:eastAsia="Calibri"/>
        </w:rPr>
      </w:pPr>
    </w:p>
    <w:p w:rsidR="00831DDE" w:rsidRPr="00831DDE" w:rsidRDefault="00831DDE" w:rsidP="00831DDE">
      <w:pPr>
        <w:jc w:val="center"/>
        <w:rPr>
          <w:rFonts w:eastAsia="Calibri"/>
          <w:b/>
        </w:rPr>
      </w:pPr>
      <w:r w:rsidRPr="00831DDE">
        <w:rPr>
          <w:rFonts w:eastAsia="Calibri"/>
          <w:b/>
        </w:rPr>
        <w:t>О Т Ч Е Т</w:t>
      </w:r>
    </w:p>
    <w:p w:rsidR="00831DDE" w:rsidRPr="00831DDE" w:rsidRDefault="00831DDE" w:rsidP="00831DDE">
      <w:pPr>
        <w:jc w:val="center"/>
        <w:rPr>
          <w:rFonts w:eastAsia="Calibri"/>
          <w:b/>
        </w:rPr>
      </w:pPr>
      <w:r w:rsidRPr="00831DDE">
        <w:rPr>
          <w:rFonts w:eastAsia="Calibri"/>
          <w:b/>
        </w:rPr>
        <w:t xml:space="preserve">о работе Комитете по жилищно-коммунальному хозяйству и благоустройству Псковской городской Думы (ПГД) 5-го созыва </w:t>
      </w:r>
    </w:p>
    <w:p w:rsidR="00831DDE" w:rsidRPr="00831DDE" w:rsidRDefault="00831DDE" w:rsidP="00831DDE">
      <w:pPr>
        <w:autoSpaceDE w:val="0"/>
        <w:autoSpaceDN w:val="0"/>
        <w:adjustRightInd w:val="0"/>
        <w:jc w:val="center"/>
        <w:rPr>
          <w:rFonts w:eastAsia="Calibri"/>
          <w:color w:val="000000"/>
        </w:rPr>
      </w:pPr>
      <w:r w:rsidRPr="00831DDE">
        <w:rPr>
          <w:rFonts w:eastAsia="Calibri"/>
          <w:b/>
        </w:rPr>
        <w:t>за период с 16 мая 2016 года по 15 мая 2017 года</w:t>
      </w:r>
    </w:p>
    <w:p w:rsidR="00831DDE" w:rsidRPr="00831DDE" w:rsidRDefault="00831DDE" w:rsidP="00831DDE">
      <w:pPr>
        <w:autoSpaceDE w:val="0"/>
        <w:autoSpaceDN w:val="0"/>
        <w:adjustRightInd w:val="0"/>
        <w:rPr>
          <w:rFonts w:eastAsia="Calibri"/>
          <w:color w:val="000000"/>
        </w:rPr>
      </w:pPr>
    </w:p>
    <w:p w:rsidR="00831DDE" w:rsidRPr="00831DDE" w:rsidRDefault="00831DDE" w:rsidP="00831DDE">
      <w:pPr>
        <w:widowControl w:val="0"/>
        <w:autoSpaceDE w:val="0"/>
        <w:autoSpaceDN w:val="0"/>
        <w:adjustRightInd w:val="0"/>
        <w:ind w:firstLine="851"/>
        <w:jc w:val="both"/>
        <w:outlineLvl w:val="2"/>
        <w:rPr>
          <w:rFonts w:eastAsia="Calibri"/>
          <w:color w:val="000000"/>
        </w:rPr>
      </w:pPr>
      <w:proofErr w:type="gramStart"/>
      <w:r w:rsidRPr="00831DDE">
        <w:rPr>
          <w:rFonts w:eastAsia="Calibri"/>
          <w:color w:val="000000"/>
        </w:rPr>
        <w:t>За отчетный период с 16 мая 2016 года по 15 мая 2017 года  работа Комитета по жилищно-коммунальному хозяйству и благоустройству Псковской городской Думы пятого созыва (далее Комитет) была организована в соответствии с Положением о Комитете по жилищно-коммунальному хозяйству и благоустройству Псковской городской Думы, утвержденном Решением Псковской городской Думы  от 20 марта 2012г. №15 (далее Положение) и   Уставом муниципального образования «Город</w:t>
      </w:r>
      <w:proofErr w:type="gramEnd"/>
      <w:r w:rsidRPr="00831DDE">
        <w:rPr>
          <w:rFonts w:eastAsia="Calibri"/>
          <w:color w:val="000000"/>
        </w:rPr>
        <w:t xml:space="preserve"> Псков».</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 xml:space="preserve">В работе Комитета участвовали 6 депутатов, в том числе: </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-Гаврилов Сергей Вячеславович – председатель Комитета;</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-Петров Валерий Алексеевич  - заместитель председателя Комитета;</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w:t>
      </w:r>
      <w:proofErr w:type="spellStart"/>
      <w:r w:rsidRPr="00831DDE">
        <w:rPr>
          <w:rFonts w:eastAsia="Calibri"/>
          <w:color w:val="000000"/>
        </w:rPr>
        <w:t>Турчин</w:t>
      </w:r>
      <w:proofErr w:type="spellEnd"/>
      <w:r w:rsidRPr="00831DDE">
        <w:rPr>
          <w:rFonts w:eastAsia="Calibri"/>
          <w:color w:val="000000"/>
        </w:rPr>
        <w:t xml:space="preserve"> Григорий Михайлович;</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-Комиссаров Илья Анатольевич</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-Барабанов Дмитрий Александрович;</w:t>
      </w:r>
    </w:p>
    <w:p w:rsidR="00831DDE" w:rsidRPr="00831DDE" w:rsidRDefault="00831DDE" w:rsidP="00831DDE">
      <w:pPr>
        <w:widowControl w:val="0"/>
        <w:autoSpaceDE w:val="0"/>
        <w:autoSpaceDN w:val="0"/>
        <w:adjustRightInd w:val="0"/>
        <w:ind w:firstLine="851"/>
        <w:jc w:val="both"/>
        <w:outlineLvl w:val="2"/>
        <w:rPr>
          <w:rFonts w:eastAsia="Calibri"/>
          <w:color w:val="000000"/>
        </w:rPr>
      </w:pPr>
      <w:r w:rsidRPr="00831DDE">
        <w:rPr>
          <w:rFonts w:eastAsia="Calibri"/>
          <w:color w:val="000000"/>
        </w:rPr>
        <w:t>-Барабанов Сергей Александрович.</w:t>
      </w:r>
    </w:p>
    <w:p w:rsidR="00831DDE" w:rsidRPr="00831DDE" w:rsidRDefault="00831DDE" w:rsidP="00831DDE">
      <w:pPr>
        <w:widowControl w:val="0"/>
        <w:autoSpaceDE w:val="0"/>
        <w:autoSpaceDN w:val="0"/>
        <w:adjustRightInd w:val="0"/>
        <w:ind w:firstLine="851"/>
        <w:jc w:val="both"/>
        <w:outlineLvl w:val="2"/>
        <w:rPr>
          <w:rFonts w:eastAsia="Courier New"/>
          <w:bCs/>
        </w:rPr>
      </w:pPr>
      <w:r w:rsidRPr="00831DDE">
        <w:rPr>
          <w:rFonts w:eastAsia="Calibri"/>
          <w:color w:val="000000"/>
        </w:rPr>
        <w:t>Сведения о посещаемости депутатами заседаний Комитета 16 мая 2016 года по 15 мая 2017 года</w:t>
      </w:r>
      <w:r w:rsidRPr="00831DDE">
        <w:rPr>
          <w:rFonts w:eastAsia="Courier New"/>
          <w:bCs/>
        </w:rPr>
        <w:t xml:space="preserve"> </w:t>
      </w:r>
      <w:r w:rsidRPr="00831DDE">
        <w:rPr>
          <w:rFonts w:eastAsia="Calibri"/>
          <w:color w:val="000000"/>
        </w:rPr>
        <w:t>представлены в Таблице 1.</w:t>
      </w:r>
    </w:p>
    <w:p w:rsidR="00831DDE" w:rsidRPr="00831DDE" w:rsidRDefault="00831DDE" w:rsidP="00831DDE">
      <w:pPr>
        <w:widowControl w:val="0"/>
        <w:autoSpaceDE w:val="0"/>
        <w:autoSpaceDN w:val="0"/>
        <w:adjustRightInd w:val="0"/>
        <w:jc w:val="right"/>
        <w:rPr>
          <w:bCs/>
        </w:rPr>
      </w:pPr>
      <w:r w:rsidRPr="00831DDE">
        <w:rPr>
          <w:bCs/>
        </w:rPr>
        <w:t>Таблица 1.</w:t>
      </w:r>
    </w:p>
    <w:tbl>
      <w:tblPr>
        <w:tblW w:w="9640" w:type="dxa"/>
        <w:tblInd w:w="-132" w:type="dxa"/>
        <w:tblLayout w:type="fixed"/>
        <w:tblCellMar>
          <w:left w:w="10" w:type="dxa"/>
          <w:right w:w="10" w:type="dxa"/>
        </w:tblCellMar>
        <w:tblLook w:val="04A0" w:firstRow="1" w:lastRow="0" w:firstColumn="1" w:lastColumn="0" w:noHBand="0" w:noVBand="1"/>
      </w:tblPr>
      <w:tblGrid>
        <w:gridCol w:w="851"/>
        <w:gridCol w:w="3969"/>
        <w:gridCol w:w="1843"/>
        <w:gridCol w:w="1701"/>
        <w:gridCol w:w="1276"/>
      </w:tblGrid>
      <w:tr w:rsidR="00831DDE" w:rsidRPr="00831DDE" w:rsidTr="00330E74">
        <w:trPr>
          <w:trHeight w:hRule="exact" w:val="639"/>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226" w:lineRule="exact"/>
              <w:jc w:val="center"/>
              <w:rPr>
                <w:b/>
                <w:bCs/>
                <w:color w:val="000000"/>
              </w:rPr>
            </w:pPr>
            <w:r w:rsidRPr="00831DDE">
              <w:rPr>
                <w:color w:val="000000"/>
              </w:rPr>
              <w:t>№</w:t>
            </w:r>
            <w:proofErr w:type="gramStart"/>
            <w:r w:rsidRPr="00831DDE">
              <w:rPr>
                <w:color w:val="000000"/>
              </w:rPr>
              <w:t>п</w:t>
            </w:r>
            <w:proofErr w:type="gramEnd"/>
            <w:r w:rsidRPr="00831DDE">
              <w:rPr>
                <w:color w:val="000000"/>
              </w:rPr>
              <w:t>/п.</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spacing w:line="228" w:lineRule="exact"/>
              <w:jc w:val="center"/>
              <w:rPr>
                <w:b/>
                <w:bCs/>
                <w:color w:val="000000"/>
              </w:rPr>
            </w:pPr>
            <w:r w:rsidRPr="00831DDE">
              <w:rPr>
                <w:color w:val="000000"/>
              </w:rPr>
              <w:t>Фамилия имя отчество депутата</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Избирательный округ</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Посещаемость</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Пропуск</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230" w:lineRule="exact"/>
              <w:jc w:val="center"/>
              <w:rPr>
                <w:b/>
                <w:bCs/>
                <w:color w:val="000000"/>
              </w:rPr>
            </w:pPr>
            <w:r w:rsidRPr="00831DDE">
              <w:rPr>
                <w:b/>
                <w:bCs/>
                <w:color w:val="000000"/>
              </w:rPr>
              <w:t>1</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proofErr w:type="spellStart"/>
            <w:r w:rsidRPr="00831DDE">
              <w:rPr>
                <w:bCs/>
              </w:rPr>
              <w:t>Турчин</w:t>
            </w:r>
            <w:proofErr w:type="spellEnd"/>
            <w:r w:rsidRPr="00831DDE">
              <w:rPr>
                <w:bCs/>
              </w:rPr>
              <w:t xml:space="preserve"> Григорий Михайлович</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1</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12</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1</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190" w:lineRule="exact"/>
              <w:jc w:val="center"/>
              <w:rPr>
                <w:b/>
                <w:bCs/>
                <w:color w:val="000000"/>
              </w:rPr>
            </w:pPr>
            <w:r w:rsidRPr="00831DDE">
              <w:rPr>
                <w:b/>
                <w:bCs/>
                <w:color w:val="000000"/>
              </w:rPr>
              <w:t>2</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 xml:space="preserve">Гаврилов Сергей Вячеславович </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4</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13</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190" w:lineRule="exact"/>
              <w:jc w:val="center"/>
              <w:rPr>
                <w:b/>
                <w:bCs/>
                <w:color w:val="000000"/>
              </w:rPr>
            </w:pPr>
            <w:r w:rsidRPr="00831DDE">
              <w:rPr>
                <w:b/>
                <w:bCs/>
                <w:color w:val="000000"/>
              </w:rPr>
              <w:t>3</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Барабанов Дмитрий Александрович</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5</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b/>
                <w:bCs/>
                <w:color w:val="000000"/>
              </w:rPr>
            </w:pPr>
            <w:r w:rsidRPr="00831DDE">
              <w:rPr>
                <w:b/>
                <w:bCs/>
                <w:color w:val="000000"/>
              </w:rPr>
              <w:t>8</w:t>
            </w:r>
          </w:p>
        </w:tc>
      </w:tr>
      <w:tr w:rsidR="00831DDE" w:rsidRPr="00831DDE" w:rsidTr="00330E74">
        <w:trPr>
          <w:trHeight w:hRule="exact" w:val="283"/>
        </w:trPr>
        <w:tc>
          <w:tcPr>
            <w:tcW w:w="851" w:type="dxa"/>
            <w:tcBorders>
              <w:top w:val="single" w:sz="4" w:space="0" w:color="auto"/>
              <w:left w:val="single" w:sz="4" w:space="0" w:color="auto"/>
            </w:tcBorders>
            <w:shd w:val="clear" w:color="auto" w:fill="FFFFFF"/>
          </w:tcPr>
          <w:p w:rsidR="00831DDE" w:rsidRPr="00831DDE" w:rsidRDefault="00831DDE" w:rsidP="00831DDE">
            <w:pPr>
              <w:widowControl w:val="0"/>
              <w:spacing w:line="190" w:lineRule="exact"/>
              <w:jc w:val="center"/>
              <w:rPr>
                <w:b/>
                <w:bCs/>
                <w:color w:val="000000"/>
              </w:rPr>
            </w:pPr>
            <w:r w:rsidRPr="00831DDE">
              <w:rPr>
                <w:b/>
                <w:bCs/>
                <w:color w:val="000000"/>
              </w:rPr>
              <w:t>4</w:t>
            </w:r>
          </w:p>
        </w:tc>
        <w:tc>
          <w:tcPr>
            <w:tcW w:w="3969"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Барабанов Сергей Александрович</w:t>
            </w:r>
          </w:p>
        </w:tc>
        <w:tc>
          <w:tcPr>
            <w:tcW w:w="1843" w:type="dxa"/>
            <w:tcBorders>
              <w:top w:val="single" w:sz="4" w:space="0" w:color="auto"/>
              <w:left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w:t>
            </w:r>
          </w:p>
        </w:tc>
        <w:tc>
          <w:tcPr>
            <w:tcW w:w="1276" w:type="dxa"/>
            <w:tcBorders>
              <w:top w:val="single" w:sz="4" w:space="0" w:color="auto"/>
              <w:left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12</w:t>
            </w:r>
          </w:p>
        </w:tc>
      </w:tr>
      <w:tr w:rsidR="00831DDE" w:rsidRPr="00831DDE" w:rsidTr="00330E74">
        <w:trPr>
          <w:trHeight w:hRule="exact" w:val="268"/>
        </w:trPr>
        <w:tc>
          <w:tcPr>
            <w:tcW w:w="851"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spacing w:line="240" w:lineRule="exact"/>
              <w:jc w:val="center"/>
              <w:rPr>
                <w:b/>
                <w:bCs/>
                <w:color w:val="000000"/>
              </w:rPr>
            </w:pPr>
            <w:r w:rsidRPr="00831DDE">
              <w:rPr>
                <w:b/>
                <w:bCs/>
                <w:color w:val="000000"/>
              </w:rPr>
              <w:t>5</w:t>
            </w:r>
          </w:p>
        </w:tc>
        <w:tc>
          <w:tcPr>
            <w:tcW w:w="3969"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Петров Валерий Алексеевич</w:t>
            </w:r>
          </w:p>
        </w:tc>
        <w:tc>
          <w:tcPr>
            <w:tcW w:w="1843"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w:t>
            </w:r>
          </w:p>
        </w:tc>
      </w:tr>
      <w:tr w:rsidR="00831DDE" w:rsidRPr="00831DDE" w:rsidTr="00330E74">
        <w:trPr>
          <w:trHeight w:hRule="exact" w:val="288"/>
        </w:trPr>
        <w:tc>
          <w:tcPr>
            <w:tcW w:w="851"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spacing w:line="230" w:lineRule="exact"/>
              <w:jc w:val="center"/>
              <w:rPr>
                <w:b/>
                <w:bCs/>
                <w:color w:val="000000"/>
              </w:rPr>
            </w:pPr>
            <w:r w:rsidRPr="00831DDE">
              <w:rPr>
                <w:b/>
                <w:bCs/>
                <w:color w:val="000000"/>
              </w:rPr>
              <w:t>6</w:t>
            </w:r>
          </w:p>
        </w:tc>
        <w:tc>
          <w:tcPr>
            <w:tcW w:w="3969"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rPr>
                <w:bCs/>
              </w:rPr>
            </w:pPr>
            <w:r w:rsidRPr="00831DDE">
              <w:rPr>
                <w:bCs/>
              </w:rPr>
              <w:t xml:space="preserve">Комиссаров Илья Анатольевич </w:t>
            </w:r>
          </w:p>
        </w:tc>
        <w:tc>
          <w:tcPr>
            <w:tcW w:w="1843" w:type="dxa"/>
            <w:tcBorders>
              <w:top w:val="single" w:sz="4" w:space="0" w:color="auto"/>
              <w:left w:val="single" w:sz="4" w:space="0" w:color="auto"/>
              <w:bottom w:val="single" w:sz="4" w:space="0" w:color="auto"/>
            </w:tcBorders>
            <w:shd w:val="clear" w:color="auto" w:fill="FFFFFF"/>
          </w:tcPr>
          <w:p w:rsidR="00831DDE" w:rsidRPr="00831DDE" w:rsidRDefault="00831DDE" w:rsidP="00831DDE">
            <w:pPr>
              <w:widowControl w:val="0"/>
              <w:autoSpaceDE w:val="0"/>
              <w:autoSpaceDN w:val="0"/>
              <w:adjustRightInd w:val="0"/>
              <w:jc w:val="center"/>
              <w:rPr>
                <w:bCs/>
              </w:rPr>
            </w:pPr>
            <w:r w:rsidRPr="00831DDE">
              <w:rPr>
                <w:bCs/>
              </w:rPr>
              <w:t>единый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1DDE" w:rsidRPr="00831DDE" w:rsidRDefault="00831DDE" w:rsidP="00831DDE">
            <w:pPr>
              <w:widowControl w:val="0"/>
              <w:jc w:val="center"/>
              <w:rPr>
                <w:rFonts w:eastAsia="Courier New"/>
                <w:b/>
                <w:color w:val="000000"/>
              </w:rPr>
            </w:pPr>
            <w:r w:rsidRPr="00831DDE">
              <w:rPr>
                <w:rFonts w:eastAsia="Courier New"/>
                <w:b/>
                <w:color w:val="000000"/>
              </w:rPr>
              <w:t>2</w:t>
            </w:r>
          </w:p>
        </w:tc>
      </w:tr>
    </w:tbl>
    <w:p w:rsidR="00831DDE" w:rsidRPr="00831DDE" w:rsidRDefault="00831DDE" w:rsidP="00831DDE">
      <w:pPr>
        <w:widowControl w:val="0"/>
        <w:autoSpaceDE w:val="0"/>
        <w:autoSpaceDN w:val="0"/>
        <w:adjustRightInd w:val="0"/>
        <w:jc w:val="right"/>
        <w:rPr>
          <w:bCs/>
        </w:rPr>
      </w:pPr>
      <w:r w:rsidRPr="00831DDE">
        <w:rPr>
          <w:bCs/>
        </w:rPr>
        <w:t xml:space="preserve"> </w:t>
      </w: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За отчетный период  рассмотрено </w:t>
      </w:r>
      <w:r w:rsidRPr="00831DDE">
        <w:rPr>
          <w:rFonts w:eastAsia="Calibri"/>
          <w:b/>
          <w:color w:val="000000"/>
        </w:rPr>
        <w:t>110</w:t>
      </w:r>
      <w:r w:rsidRPr="00831DDE">
        <w:rPr>
          <w:rFonts w:eastAsia="Calibri"/>
          <w:color w:val="000000"/>
        </w:rPr>
        <w:t xml:space="preserve"> вопроса в том числе: проекты нормативных правовых документов, обращения граждан и депутатов. </w:t>
      </w: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В соответствии с </w:t>
      </w:r>
      <w:proofErr w:type="gramStart"/>
      <w:r w:rsidRPr="00831DDE">
        <w:rPr>
          <w:rFonts w:eastAsia="Calibri"/>
          <w:color w:val="000000"/>
        </w:rPr>
        <w:t>задачами, возложенными на Комитет проведено</w:t>
      </w:r>
      <w:proofErr w:type="gramEnd"/>
      <w:r w:rsidRPr="00831DDE">
        <w:rPr>
          <w:rFonts w:eastAsia="Calibri"/>
          <w:color w:val="000000"/>
        </w:rPr>
        <w:t xml:space="preserve"> </w:t>
      </w:r>
      <w:r w:rsidRPr="00831DDE">
        <w:rPr>
          <w:rFonts w:eastAsia="Calibri"/>
          <w:b/>
          <w:color w:val="000000"/>
        </w:rPr>
        <w:t>13</w:t>
      </w:r>
      <w:r w:rsidRPr="00831DDE">
        <w:rPr>
          <w:rFonts w:eastAsia="Calibri"/>
          <w:color w:val="000000"/>
        </w:rPr>
        <w:t xml:space="preserve"> заседаний Комитета, на которых рассмотрены вопросы в соответствии с задачами Комитета, в том числе: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Информация директора МП </w:t>
      </w:r>
      <w:proofErr w:type="gramStart"/>
      <w:r w:rsidRPr="00831DDE">
        <w:rPr>
          <w:bCs/>
        </w:rPr>
        <w:t>г.Пскова «</w:t>
      </w:r>
      <w:proofErr w:type="spellStart"/>
      <w:r w:rsidRPr="00831DDE">
        <w:rPr>
          <w:bCs/>
        </w:rPr>
        <w:t>Горводоканал</w:t>
      </w:r>
      <w:proofErr w:type="spellEnd"/>
      <w:proofErr w:type="gramEnd"/>
      <w:r w:rsidRPr="00831DDE">
        <w:rPr>
          <w:bCs/>
        </w:rPr>
        <w:t>» о ходе реализации мероприятий в рамках программы «Чистая вода»</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утверждении текущего плана ремонта дворовых территорий многоквартирных домов и проездов к многоквартирным домам на территории муниципального образования «Город Псков» на 2017 год</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lang w:eastAsia="en-US"/>
        </w:rPr>
        <w:t>О согласовании краткосрочного плана реализации региональной программы капитального ремонта на 2017 год в городе Пскове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плане  благоустройства территории муниципального образования «Город Псков»                       </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внесении изменений в Решение Псковской городской Думы от 01ноября 2016 года № 2111 «О даче согласия Администрации города Пскова на согласование </w:t>
      </w:r>
      <w:proofErr w:type="gramStart"/>
      <w:r w:rsidRPr="00831DDE">
        <w:rPr>
          <w:bCs/>
        </w:rPr>
        <w:t>перечня объектов реализации региональной программы капитального ремонта</w:t>
      </w:r>
      <w:proofErr w:type="gramEnd"/>
      <w:r w:rsidRPr="00831DDE">
        <w:rPr>
          <w:bCs/>
        </w:rPr>
        <w:t xml:space="preserve"> на 2017 год в городе Пскове»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w:t>
      </w:r>
      <w:proofErr w:type="gramStart"/>
      <w:r w:rsidRPr="00831DDE">
        <w:rPr>
          <w:bCs/>
        </w:rPr>
        <w:t>контроле за</w:t>
      </w:r>
      <w:proofErr w:type="gramEnd"/>
      <w:r w:rsidRPr="00831DDE">
        <w:rPr>
          <w:bCs/>
        </w:rPr>
        <w:t xml:space="preserve"> ходом реализации мероприятий по переселению граждан из </w:t>
      </w:r>
      <w:r w:rsidRPr="00831DDE">
        <w:rPr>
          <w:bCs/>
        </w:rPr>
        <w:lastRenderedPageBreak/>
        <w:t>аварийного жилищного фонда в муниципальном образовании «Город Псков» (Постановление Главы города Пскова  от 28.09.2014 №201)</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внесении изменений в Решение Псковской городской Думы от 14.03.2013 № 469 «Об утверждении порядка зачисления и расходования платы за наем муниципального жилищного фонда»</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Об установлении </w:t>
      </w:r>
      <w:proofErr w:type="gramStart"/>
      <w:r w:rsidRPr="00831DDE">
        <w:rPr>
          <w:bCs/>
        </w:rPr>
        <w:t>норматива стоимости одного квадратного метра общей площади жилья</w:t>
      </w:r>
      <w:proofErr w:type="gramEnd"/>
      <w:r w:rsidRPr="00831DDE">
        <w:rPr>
          <w:bCs/>
        </w:rPr>
        <w:t xml:space="preserve"> в муниципальном образовании "Город Псков" для расчета размера социальной выплаты, предоставляемой молодым семьям, на 2017 год</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w:t>
      </w:r>
      <w:proofErr w:type="gramStart"/>
      <w:r w:rsidRPr="00831DDE">
        <w:rPr>
          <w:bCs/>
        </w:rPr>
        <w:t>контроле за</w:t>
      </w:r>
      <w:proofErr w:type="gramEnd"/>
      <w:r w:rsidRPr="00831DDE">
        <w:rPr>
          <w:bCs/>
        </w:rPr>
        <w:t xml:space="preserve"> ходом реализации Соглашения между Псковской областью и муниципальным образованием «Город Псков» об осуществлении Государственным комитетом Псковской области по организации государственных закупок полномочий уполномоченного органа муниципального образования «Город Псков» на определение поставщиков (подрядчиков, исполнителей) для муниципальных заказчиков муниципального образования «Город Псков» (Постановление Главы города Пскова  от 03.07.2015 №170)</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согласовании документов по распоряжению объектами жилищного фонда  муниципального образования «Город Псков»</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даче согласия Администрации города Пскова на закрепление на праве  хозяйственного ведения за муниципальным предприятием г. Пскова «</w:t>
      </w:r>
      <w:proofErr w:type="spellStart"/>
      <w:r w:rsidRPr="00831DDE">
        <w:rPr>
          <w:bCs/>
        </w:rPr>
        <w:t>Горводоканал</w:t>
      </w:r>
      <w:proofErr w:type="spellEnd"/>
      <w:r w:rsidRPr="00831DDE">
        <w:rPr>
          <w:bCs/>
        </w:rPr>
        <w:t>» объектов инженерной инфраструктуры</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утверждении Порядка осуществления сбора отработанных ртутьсодержащих ламп на территории муниципального образования «Город Псков»</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внесении изменений в Положение о межведомственной комиссии по рассмотрению вопросов признания помещения (строения) жилым помещением (домом), жилого помещения (строения, дома) непригодным для проживания и многоквартирного дома аварийным и подлежащим сносу или реконструкции, утвержденное Решением Псковской городской Думы от 30.05.2012  № 130</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правомерности установки МП </w:t>
      </w:r>
      <w:proofErr w:type="gramStart"/>
      <w:r w:rsidRPr="00831DDE">
        <w:rPr>
          <w:bCs/>
        </w:rPr>
        <w:t>г.Пскова «</w:t>
      </w:r>
      <w:proofErr w:type="spellStart"/>
      <w:r w:rsidRPr="00831DDE">
        <w:rPr>
          <w:bCs/>
        </w:rPr>
        <w:t>Горводоканал</w:t>
      </w:r>
      <w:proofErr w:type="spellEnd"/>
      <w:proofErr w:type="gramEnd"/>
      <w:r w:rsidRPr="00831DDE">
        <w:rPr>
          <w:bCs/>
        </w:rPr>
        <w:t xml:space="preserve">»  общедомовых приборов учета холодной воды с </w:t>
      </w:r>
      <w:proofErr w:type="spellStart"/>
      <w:r w:rsidRPr="00831DDE">
        <w:rPr>
          <w:bCs/>
        </w:rPr>
        <w:t>радиомодулем</w:t>
      </w:r>
      <w:proofErr w:type="spellEnd"/>
      <w:r w:rsidRPr="00831DDE">
        <w:rPr>
          <w:bCs/>
        </w:rPr>
        <w:t xml:space="preserve">  (обращение депутата ПГД Калинина С.М. от 21.06.2016 вх№вн-57)</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выполнении текущего плана благоустройства территории муниципального образования «Город Псков» на 2016 год  (Решение  ПГД №1885 от 30.03.2016)</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порядке подготовки адресного план  ремонта  дворовых территорий многоквартирных домов и проездов к многоквартирным домам на территории муниципального  образования "Город Псков", о порядке сноса зеленых насаждений (обращение депутата ПГД </w:t>
      </w:r>
      <w:proofErr w:type="spellStart"/>
      <w:r w:rsidRPr="00831DDE">
        <w:rPr>
          <w:bCs/>
        </w:rPr>
        <w:t>Турчина</w:t>
      </w:r>
      <w:proofErr w:type="spellEnd"/>
      <w:r w:rsidRPr="00831DDE">
        <w:rPr>
          <w:bCs/>
        </w:rPr>
        <w:t xml:space="preserve"> Г.М. от 09.08.2016 вх№вн-74)</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обращении уполномоченного по правам человека в Псковской области Шахова Д.В.  от 23.08.2016 вх№2691</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утверждении документов, регламентирующих порядок организации транспортного обслуживания населения на маршрутах регулярных перевозок в городе Пскове</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ходе контрольных мероприятий за соблюдением собственниками развлекательного оборудования правил благоустройства и организации безопасности в местах установленного развлекательного оборудования (Постановление Главы города Пскова от 29.04.2016 №95)</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Об итогах работы рабочей по анализу структуры платы за содержание и техническое обслуживание многоквартирных жилых домов    и вывозу твердых бытовых отходов (Постановление Главы города Пскова от 01.06.2016 №115)</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О возврате гражданам 75-летнего возраста и выше  денежных средств оплаченных ими в фонд капитального ремонта (обращение депутата ПГД Калинина С.М. от 30.06.2016 вх№вн-64)</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rFonts w:eastAsia="Calibri"/>
          <w:bCs/>
          <w:lang w:eastAsia="en-US"/>
        </w:rPr>
        <w:t>О согласовании кандидатур для назначения на должность директоров муниципальных предприятий города Пскова.</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lang w:eastAsia="en-US"/>
        </w:rPr>
        <w:t xml:space="preserve">О внесении изменений в Постановление Псковской городской Думы от 31.01.2003 </w:t>
      </w:r>
      <w:r w:rsidRPr="00831DDE">
        <w:rPr>
          <w:bCs/>
          <w:lang w:eastAsia="en-US"/>
        </w:rPr>
        <w:lastRenderedPageBreak/>
        <w:t>№39 «Об утверждении правил предоставления ритуальных услуг»</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lang w:eastAsia="en-US"/>
        </w:rPr>
        <w:t xml:space="preserve">Об одобрении крупных сделок муниципальных предприятий города Пскова </w:t>
      </w:r>
    </w:p>
    <w:p w:rsidR="00831DDE" w:rsidRPr="00831DDE" w:rsidRDefault="00831DDE" w:rsidP="00831DDE">
      <w:pPr>
        <w:widowControl w:val="0"/>
        <w:numPr>
          <w:ilvl w:val="0"/>
          <w:numId w:val="9"/>
        </w:numPr>
        <w:tabs>
          <w:tab w:val="left" w:pos="1134"/>
        </w:tabs>
        <w:autoSpaceDE w:val="0"/>
        <w:autoSpaceDN w:val="0"/>
        <w:adjustRightInd w:val="0"/>
        <w:ind w:left="0" w:firstLine="709"/>
        <w:contextualSpacing/>
        <w:jc w:val="both"/>
        <w:rPr>
          <w:bCs/>
        </w:rPr>
      </w:pPr>
      <w:r w:rsidRPr="00831DDE">
        <w:rPr>
          <w:bCs/>
        </w:rPr>
        <w:t xml:space="preserve">О награждении Почетной грамотой Псковской городской Думы </w:t>
      </w:r>
    </w:p>
    <w:p w:rsidR="00831DDE" w:rsidRPr="00831DDE" w:rsidRDefault="00831DDE" w:rsidP="00831DDE">
      <w:pPr>
        <w:widowControl w:val="0"/>
        <w:autoSpaceDE w:val="0"/>
        <w:autoSpaceDN w:val="0"/>
        <w:adjustRightInd w:val="0"/>
        <w:ind w:firstLine="851"/>
        <w:jc w:val="both"/>
        <w:outlineLvl w:val="2"/>
        <w:rPr>
          <w:rFonts w:eastAsia="Calibri"/>
          <w:b/>
          <w:color w:val="000000"/>
        </w:rPr>
      </w:pP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Комитетом ведется постоянный </w:t>
      </w:r>
      <w:proofErr w:type="gramStart"/>
      <w:r w:rsidRPr="00831DDE">
        <w:rPr>
          <w:rFonts w:eastAsia="Calibri"/>
          <w:color w:val="000000"/>
        </w:rPr>
        <w:t>контроль за</w:t>
      </w:r>
      <w:proofErr w:type="gramEnd"/>
      <w:r w:rsidRPr="00831DDE">
        <w:rPr>
          <w:rFonts w:eastAsia="Calibri"/>
          <w:color w:val="000000"/>
        </w:rPr>
        <w:t xml:space="preserve"> выполнением решений Комитета  и Псковской городской Думы по вопросам, относящимся к компетенции Комитета. На каждом заседании  Комитете рассматривались вопросы контроля исполнений принятых решений Комитета и нормативных актов ПГД.</w:t>
      </w:r>
    </w:p>
    <w:p w:rsidR="00831DDE" w:rsidRPr="00831DDE" w:rsidRDefault="00831DDE" w:rsidP="00831DDE">
      <w:pPr>
        <w:widowControl w:val="0"/>
        <w:autoSpaceDE w:val="0"/>
        <w:autoSpaceDN w:val="0"/>
        <w:adjustRightInd w:val="0"/>
        <w:ind w:firstLine="851"/>
        <w:jc w:val="both"/>
        <w:outlineLvl w:val="2"/>
        <w:rPr>
          <w:rFonts w:eastAsia="Calibri"/>
          <w:color w:val="000000"/>
        </w:rPr>
      </w:pPr>
    </w:p>
    <w:p w:rsidR="00831DDE" w:rsidRPr="00831DDE" w:rsidRDefault="00831DDE" w:rsidP="00831DDE">
      <w:pPr>
        <w:widowControl w:val="0"/>
        <w:autoSpaceDE w:val="0"/>
        <w:autoSpaceDN w:val="0"/>
        <w:adjustRightInd w:val="0"/>
        <w:ind w:firstLine="709"/>
        <w:jc w:val="both"/>
        <w:outlineLvl w:val="2"/>
        <w:rPr>
          <w:rFonts w:eastAsia="Calibri"/>
          <w:color w:val="000000"/>
        </w:rPr>
      </w:pPr>
      <w:r w:rsidRPr="00831DDE">
        <w:rPr>
          <w:rFonts w:eastAsia="Calibri"/>
          <w:color w:val="000000"/>
        </w:rPr>
        <w:t xml:space="preserve">Члены Комитета в отчетный период приняли  участие в работе межведомственных комиссий, в состав которых они входят. </w:t>
      </w:r>
    </w:p>
    <w:p w:rsidR="00831DDE" w:rsidRPr="00831DDE" w:rsidRDefault="00831DDE" w:rsidP="00831DDE">
      <w:pPr>
        <w:widowControl w:val="0"/>
        <w:autoSpaceDE w:val="0"/>
        <w:autoSpaceDN w:val="0"/>
        <w:adjustRightInd w:val="0"/>
        <w:ind w:firstLine="851"/>
        <w:jc w:val="both"/>
        <w:outlineLvl w:val="2"/>
        <w:rPr>
          <w:rFonts w:eastAsia="Calibri"/>
          <w:color w:val="000000"/>
        </w:rPr>
      </w:pPr>
    </w:p>
    <w:p w:rsidR="00831DDE" w:rsidRPr="00831DDE" w:rsidRDefault="00831DDE" w:rsidP="00831DDE">
      <w:pPr>
        <w:widowControl w:val="0"/>
        <w:autoSpaceDE w:val="0"/>
        <w:autoSpaceDN w:val="0"/>
        <w:adjustRightInd w:val="0"/>
        <w:rPr>
          <w:rFonts w:ascii="Arial" w:hAnsi="Arial" w:cs="Arial"/>
          <w:b/>
          <w:bCs/>
          <w:sz w:val="20"/>
          <w:szCs w:val="20"/>
        </w:rPr>
      </w:pPr>
    </w:p>
    <w:p w:rsidR="00831DDE" w:rsidRPr="00831DDE" w:rsidRDefault="00831DDE" w:rsidP="00831DDE">
      <w:pPr>
        <w:widowControl w:val="0"/>
        <w:autoSpaceDE w:val="0"/>
        <w:autoSpaceDN w:val="0"/>
        <w:adjustRightInd w:val="0"/>
        <w:rPr>
          <w:rFonts w:ascii="Arial" w:hAnsi="Arial" w:cs="Arial"/>
          <w:b/>
          <w:bCs/>
          <w:sz w:val="20"/>
          <w:szCs w:val="20"/>
        </w:rPr>
      </w:pPr>
    </w:p>
    <w:p w:rsidR="00831DDE" w:rsidRPr="00831DDE" w:rsidRDefault="00831DDE" w:rsidP="00831DDE">
      <w:pPr>
        <w:widowControl w:val="0"/>
        <w:autoSpaceDE w:val="0"/>
        <w:autoSpaceDN w:val="0"/>
        <w:adjustRightInd w:val="0"/>
        <w:rPr>
          <w:rFonts w:ascii="Arial" w:hAnsi="Arial" w:cs="Arial"/>
          <w:b/>
          <w:bCs/>
          <w:sz w:val="20"/>
          <w:szCs w:val="20"/>
        </w:rPr>
      </w:pPr>
    </w:p>
    <w:p w:rsidR="00831DDE" w:rsidRPr="00831DDE" w:rsidRDefault="00831DDE" w:rsidP="00831DDE">
      <w:pPr>
        <w:widowControl w:val="0"/>
        <w:autoSpaceDE w:val="0"/>
        <w:autoSpaceDN w:val="0"/>
        <w:adjustRightInd w:val="0"/>
        <w:rPr>
          <w:bCs/>
        </w:rPr>
      </w:pPr>
      <w:r w:rsidRPr="00831DDE">
        <w:rPr>
          <w:bCs/>
        </w:rPr>
        <w:t>Глава города Пскова</w:t>
      </w:r>
      <w:r w:rsidRPr="00831DDE">
        <w:rPr>
          <w:bCs/>
        </w:rPr>
        <w:tab/>
      </w:r>
      <w:r w:rsidRPr="00831DDE">
        <w:rPr>
          <w:bCs/>
        </w:rPr>
        <w:tab/>
      </w:r>
      <w:r w:rsidRPr="00831DDE">
        <w:rPr>
          <w:bCs/>
        </w:rPr>
        <w:tab/>
      </w:r>
      <w:r w:rsidRPr="00831DDE">
        <w:rPr>
          <w:bCs/>
        </w:rPr>
        <w:tab/>
      </w:r>
      <w:r w:rsidRPr="00831DDE">
        <w:rPr>
          <w:bCs/>
        </w:rPr>
        <w:tab/>
      </w:r>
      <w:r w:rsidRPr="00831DDE">
        <w:rPr>
          <w:bCs/>
        </w:rPr>
        <w:tab/>
      </w:r>
      <w:r w:rsidRPr="00831DDE">
        <w:rPr>
          <w:bCs/>
        </w:rPr>
        <w:tab/>
      </w:r>
      <w:r w:rsidRPr="00831DDE">
        <w:rPr>
          <w:bCs/>
        </w:rPr>
        <w:tab/>
        <w:t xml:space="preserve">      </w:t>
      </w:r>
      <w:proofErr w:type="spellStart"/>
      <w:r w:rsidRPr="00831DDE">
        <w:rPr>
          <w:bCs/>
        </w:rPr>
        <w:t>И.Н.Цецерский</w:t>
      </w:r>
      <w:proofErr w:type="spellEnd"/>
    </w:p>
    <w:p w:rsidR="00D71447" w:rsidRDefault="00D71447">
      <w:pPr>
        <w:spacing w:after="200" w:line="276" w:lineRule="auto"/>
      </w:pPr>
      <w:r>
        <w:br w:type="page"/>
      </w:r>
    </w:p>
    <w:p w:rsidR="000D3C47" w:rsidRPr="000D3C47" w:rsidRDefault="000D3C47" w:rsidP="000D3C47">
      <w:pPr>
        <w:spacing w:line="360" w:lineRule="auto"/>
        <w:jc w:val="both"/>
        <w:rPr>
          <w:kern w:val="2"/>
        </w:rPr>
      </w:pPr>
    </w:p>
    <w:p w:rsidR="000D3C47" w:rsidRPr="000D3C47" w:rsidRDefault="000D3C47" w:rsidP="000D3C47">
      <w:pPr>
        <w:spacing w:line="360" w:lineRule="auto"/>
        <w:jc w:val="center"/>
        <w:rPr>
          <w:kern w:val="2"/>
          <w:sz w:val="28"/>
          <w:szCs w:val="20"/>
        </w:rPr>
      </w:pPr>
    </w:p>
    <w:p w:rsidR="00222349" w:rsidRPr="00222349" w:rsidRDefault="00222349" w:rsidP="00222349">
      <w:pPr>
        <w:spacing w:line="360" w:lineRule="auto"/>
        <w:rPr>
          <w:kern w:val="2"/>
        </w:rPr>
      </w:pPr>
    </w:p>
    <w:p w:rsidR="00222349" w:rsidRPr="00222349" w:rsidRDefault="00222349" w:rsidP="00222349">
      <w:pPr>
        <w:keepNext/>
        <w:outlineLvl w:val="0"/>
        <w:rPr>
          <w:szCs w:val="20"/>
        </w:rPr>
      </w:pPr>
    </w:p>
    <w:p w:rsidR="00222349" w:rsidRPr="00222349" w:rsidRDefault="00222349" w:rsidP="00222349">
      <w:pPr>
        <w:rPr>
          <w:sz w:val="20"/>
          <w:szCs w:val="20"/>
        </w:rPr>
      </w:pPr>
    </w:p>
    <w:p w:rsidR="00222349" w:rsidRPr="00222349" w:rsidRDefault="00222349" w:rsidP="00222349">
      <w:pPr>
        <w:rPr>
          <w:sz w:val="20"/>
          <w:szCs w:val="20"/>
        </w:rPr>
      </w:pPr>
    </w:p>
    <w:p w:rsidR="000A62B8" w:rsidRPr="00F433E9" w:rsidRDefault="000A62B8" w:rsidP="000A62B8">
      <w:pPr>
        <w:pStyle w:val="ConsPlusNormal"/>
        <w:tabs>
          <w:tab w:val="left" w:pos="364"/>
        </w:tabs>
        <w:rPr>
          <w:rFonts w:ascii="Times New Roman" w:hAnsi="Times New Roman" w:cs="Times New Roman"/>
          <w:sz w:val="24"/>
          <w:szCs w:val="24"/>
        </w:rPr>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Pr="00F433E9" w:rsidRDefault="000A62B8" w:rsidP="000A62B8">
      <w:pPr>
        <w:tabs>
          <w:tab w:val="left" w:pos="364"/>
        </w:tabs>
      </w:pPr>
    </w:p>
    <w:p w:rsidR="000A62B8" w:rsidRDefault="000A62B8" w:rsidP="000A62B8">
      <w:pPr>
        <w:tabs>
          <w:tab w:val="left" w:pos="364"/>
        </w:tabs>
      </w:pPr>
    </w:p>
    <w:p w:rsidR="000A62B8" w:rsidRDefault="000A62B8" w:rsidP="000A62B8">
      <w:pPr>
        <w:tabs>
          <w:tab w:val="left" w:pos="364"/>
        </w:tabs>
      </w:pPr>
    </w:p>
    <w:p w:rsidR="000A62B8" w:rsidRDefault="000A62B8" w:rsidP="000A62B8">
      <w:pPr>
        <w:tabs>
          <w:tab w:val="left" w:pos="364"/>
        </w:tabs>
      </w:pPr>
    </w:p>
    <w:p w:rsidR="000A62B8" w:rsidRDefault="000A62B8" w:rsidP="000A62B8">
      <w:pPr>
        <w:tabs>
          <w:tab w:val="left" w:pos="364"/>
        </w:tabs>
      </w:pPr>
    </w:p>
    <w:p w:rsidR="00EC6F5E" w:rsidRDefault="00EC6F5E" w:rsidP="000A62B8">
      <w:pPr>
        <w:tabs>
          <w:tab w:val="left" w:pos="364"/>
        </w:tabs>
      </w:pPr>
    </w:p>
    <w:sectPr w:rsidR="00EC6F5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378E"/>
    <w:multiLevelType w:val="hybridMultilevel"/>
    <w:tmpl w:val="1D2C999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40FA7A33"/>
    <w:multiLevelType w:val="hybridMultilevel"/>
    <w:tmpl w:val="738AE5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1B2870"/>
    <w:multiLevelType w:val="hybridMultilevel"/>
    <w:tmpl w:val="212E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051189"/>
    <w:multiLevelType w:val="hybridMultilevel"/>
    <w:tmpl w:val="DBC6D3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DD27CB1"/>
    <w:multiLevelType w:val="hybridMultilevel"/>
    <w:tmpl w:val="D730D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334BDC"/>
    <w:multiLevelType w:val="hybridMultilevel"/>
    <w:tmpl w:val="C56071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78EE1A87"/>
    <w:multiLevelType w:val="hybridMultilevel"/>
    <w:tmpl w:val="9D844E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
    <w:nsid w:val="7E450072"/>
    <w:multiLevelType w:val="hybridMultilevel"/>
    <w:tmpl w:val="EED88B3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43"/>
    <w:rsid w:val="000568C9"/>
    <w:rsid w:val="000A62B8"/>
    <w:rsid w:val="000B22EA"/>
    <w:rsid w:val="000D3C47"/>
    <w:rsid w:val="00222349"/>
    <w:rsid w:val="00272ECE"/>
    <w:rsid w:val="00347B12"/>
    <w:rsid w:val="004D340D"/>
    <w:rsid w:val="005B72EB"/>
    <w:rsid w:val="006C6A84"/>
    <w:rsid w:val="006E3333"/>
    <w:rsid w:val="00803243"/>
    <w:rsid w:val="00831DDE"/>
    <w:rsid w:val="009867D2"/>
    <w:rsid w:val="009D37D4"/>
    <w:rsid w:val="00B82070"/>
    <w:rsid w:val="00C10F71"/>
    <w:rsid w:val="00CC1507"/>
    <w:rsid w:val="00D71447"/>
    <w:rsid w:val="00E660CC"/>
    <w:rsid w:val="00EC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2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62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62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w:basedOn w:val="a"/>
    <w:rsid w:val="000A62B8"/>
    <w:pPr>
      <w:spacing w:after="160" w:line="240" w:lineRule="exact"/>
    </w:pPr>
    <w:rPr>
      <w:rFonts w:ascii="Verdana" w:hAnsi="Verdana" w:cs="Verdana"/>
      <w:lang w:val="en-US" w:eastAsia="en-US"/>
    </w:rPr>
  </w:style>
  <w:style w:type="paragraph" w:styleId="a3">
    <w:name w:val="Balloon Text"/>
    <w:basedOn w:val="a"/>
    <w:link w:val="a4"/>
    <w:uiPriority w:val="99"/>
    <w:semiHidden/>
    <w:unhideWhenUsed/>
    <w:rsid w:val="00347B12"/>
    <w:rPr>
      <w:rFonts w:ascii="Tahoma" w:hAnsi="Tahoma" w:cs="Tahoma"/>
      <w:sz w:val="16"/>
      <w:szCs w:val="16"/>
    </w:rPr>
  </w:style>
  <w:style w:type="character" w:customStyle="1" w:styleId="a4">
    <w:name w:val="Текст выноски Знак"/>
    <w:basedOn w:val="a0"/>
    <w:link w:val="a3"/>
    <w:uiPriority w:val="99"/>
    <w:semiHidden/>
    <w:rsid w:val="00347B12"/>
    <w:rPr>
      <w:rFonts w:ascii="Tahoma" w:eastAsia="Times New Roman" w:hAnsi="Tahoma" w:cs="Tahoma"/>
      <w:sz w:val="16"/>
      <w:szCs w:val="16"/>
      <w:lang w:eastAsia="ru-RU"/>
    </w:rPr>
  </w:style>
  <w:style w:type="paragraph" w:styleId="a5">
    <w:name w:val="List Paragraph"/>
    <w:basedOn w:val="a"/>
    <w:uiPriority w:val="34"/>
    <w:qFormat/>
    <w:rsid w:val="000D3C47"/>
    <w:pPr>
      <w:ind w:left="720"/>
      <w:contextualSpacing/>
    </w:pPr>
  </w:style>
  <w:style w:type="character" w:styleId="a6">
    <w:name w:val="Hyperlink"/>
    <w:basedOn w:val="a0"/>
    <w:uiPriority w:val="99"/>
    <w:unhideWhenUsed/>
    <w:rsid w:val="000B22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2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62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62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нак1"/>
    <w:basedOn w:val="a"/>
    <w:rsid w:val="000A62B8"/>
    <w:pPr>
      <w:spacing w:after="160" w:line="240" w:lineRule="exact"/>
    </w:pPr>
    <w:rPr>
      <w:rFonts w:ascii="Verdana" w:hAnsi="Verdana" w:cs="Verdana"/>
      <w:lang w:val="en-US" w:eastAsia="en-US"/>
    </w:rPr>
  </w:style>
  <w:style w:type="paragraph" w:styleId="a3">
    <w:name w:val="Balloon Text"/>
    <w:basedOn w:val="a"/>
    <w:link w:val="a4"/>
    <w:uiPriority w:val="99"/>
    <w:semiHidden/>
    <w:unhideWhenUsed/>
    <w:rsid w:val="00347B12"/>
    <w:rPr>
      <w:rFonts w:ascii="Tahoma" w:hAnsi="Tahoma" w:cs="Tahoma"/>
      <w:sz w:val="16"/>
      <w:szCs w:val="16"/>
    </w:rPr>
  </w:style>
  <w:style w:type="character" w:customStyle="1" w:styleId="a4">
    <w:name w:val="Текст выноски Знак"/>
    <w:basedOn w:val="a0"/>
    <w:link w:val="a3"/>
    <w:uiPriority w:val="99"/>
    <w:semiHidden/>
    <w:rsid w:val="00347B12"/>
    <w:rPr>
      <w:rFonts w:ascii="Tahoma" w:eastAsia="Times New Roman" w:hAnsi="Tahoma" w:cs="Tahoma"/>
      <w:sz w:val="16"/>
      <w:szCs w:val="16"/>
      <w:lang w:eastAsia="ru-RU"/>
    </w:rPr>
  </w:style>
  <w:style w:type="paragraph" w:styleId="a5">
    <w:name w:val="List Paragraph"/>
    <w:basedOn w:val="a"/>
    <w:uiPriority w:val="34"/>
    <w:qFormat/>
    <w:rsid w:val="000D3C47"/>
    <w:pPr>
      <w:ind w:left="720"/>
      <w:contextualSpacing/>
    </w:pPr>
  </w:style>
  <w:style w:type="character" w:styleId="a6">
    <w:name w:val="Hyperlink"/>
    <w:basedOn w:val="a0"/>
    <w:uiPriority w:val="99"/>
    <w:unhideWhenUsed/>
    <w:rsid w:val="000B2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18</cp:revision>
  <cp:lastPrinted>2017-05-26T09:34:00Z</cp:lastPrinted>
  <dcterms:created xsi:type="dcterms:W3CDTF">2017-05-02T06:39:00Z</dcterms:created>
  <dcterms:modified xsi:type="dcterms:W3CDTF">2017-05-29T14:39:00Z</dcterms:modified>
</cp:coreProperties>
</file>