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EF" w:rsidRPr="00B157EF" w:rsidRDefault="00B157EF" w:rsidP="00B1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</w:t>
      </w:r>
    </w:p>
    <w:p w:rsidR="00B157EF" w:rsidRPr="00B157EF" w:rsidRDefault="00B157EF" w:rsidP="00B1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Главы Администрации города Пскова</w:t>
      </w:r>
    </w:p>
    <w:p w:rsidR="00B157EF" w:rsidRPr="00B157EF" w:rsidRDefault="00B157EF" w:rsidP="00B15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Калашникова Игоря Викторовича</w:t>
      </w:r>
    </w:p>
    <w:p w:rsidR="00B157EF" w:rsidRPr="00B157EF" w:rsidRDefault="00B157EF" w:rsidP="00B15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57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достигнутых значениях показателей для оценки </w:t>
      </w:r>
      <w:proofErr w:type="gramStart"/>
      <w:r w:rsidRPr="00B157EF">
        <w:rPr>
          <w:rFonts w:ascii="Times New Roman" w:eastAsia="Times New Roman" w:hAnsi="Times New Roman" w:cs="Times New Roman"/>
          <w:sz w:val="27"/>
          <w:szCs w:val="27"/>
          <w:lang w:eastAsia="ru-RU"/>
        </w:rPr>
        <w:t>эффективности деятельности органов местного самоуправления городского округа</w:t>
      </w:r>
      <w:proofErr w:type="gramEnd"/>
      <w:r w:rsidRPr="00B157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2013 год </w:t>
      </w:r>
    </w:p>
    <w:p w:rsidR="00B157EF" w:rsidRPr="00B157EF" w:rsidRDefault="00B157EF" w:rsidP="00B15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57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их планируемых </w:t>
      </w:r>
      <w:proofErr w:type="gramStart"/>
      <w:r w:rsidRPr="00B157EF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значениях</w:t>
      </w:r>
      <w:proofErr w:type="gramEnd"/>
      <w:r w:rsidRPr="00B157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трехлетний период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Экономическое развитие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Число субъектов малого и среднего предпринимательства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один раз в 5 лет на основании данных сплошного наблюдения за деятельностью субъектов малого и среднего предпринимательства. Последнее наблюдение проводилось в 2010 году.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один раз в 5 лет на основании данных сплошного наблюдения за деятельностью субъектов малого и среднего предпринимательства. Последнее наблюдение проводилось в 2010 году.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Объем инвестиций в основной капитал (за исключением бюджетных средств) в расчете на 1 жителя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Инструкцией Министерства регионального развития РФ источником информации является Росстат.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Доля площади земельных участков, являющихся объектами налогообложения земельным налогом, в общей площади территории городского округа </w:t>
      </w:r>
    </w:p>
    <w:p w:rsidR="00B157EF" w:rsidRPr="00B157EF" w:rsidRDefault="00B157EF" w:rsidP="00B1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388 Налогового кодекса Российской Федерации объектом налогообложения являются земельные участки, находящиеся на праве собственности, праве постоянного (бессрочного) пользования или праве пожизненного наследуемого владения у организаций и физических лиц.</w:t>
      </w:r>
    </w:p>
    <w:p w:rsidR="00B157EF" w:rsidRPr="00B157EF" w:rsidRDefault="00B157EF" w:rsidP="00B1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РФ от 01.06.2009 № 457 функции по организации единой системы государственного кадастрового учета недвижимости и государственной </w:t>
      </w:r>
      <w:bookmarkStart w:id="0" w:name="C43"/>
      <w:bookmarkEnd w:id="0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прав на недвижимое имущество и сделок с ним осуществляет Федеральная </w:t>
      </w:r>
      <w:bookmarkStart w:id="1" w:name="C40"/>
      <w:bookmarkEnd w:id="1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служба государственной </w:t>
      </w:r>
      <w:bookmarkStart w:id="2" w:name="C41"/>
      <w:bookmarkEnd w:id="2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регистрации, кадастра и </w:t>
      </w:r>
      <w:bookmarkStart w:id="3" w:name="C42"/>
      <w:bookmarkEnd w:id="3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картографии. Таким образом, данный показатель рассчитывается ежегодно по сведениям из годового отчета Управления </w:t>
      </w:r>
      <w:proofErr w:type="spell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Псковской области. </w:t>
      </w:r>
    </w:p>
    <w:p w:rsidR="00B157EF" w:rsidRPr="00B157EF" w:rsidRDefault="00B157EF" w:rsidP="00B157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Доля прибыльных сельскохозяйственных </w:t>
      </w:r>
      <w:proofErr w:type="gramStart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организаций</w:t>
      </w:r>
      <w:proofErr w:type="gramEnd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общем их числе</w:t>
      </w:r>
    </w:p>
    <w:p w:rsidR="00B157EF" w:rsidRPr="00B157EF" w:rsidRDefault="00B157EF" w:rsidP="00B157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подсчете показателя ранее протяженность дорог была принята как приведенный километр. При расчете протяженности отремонтированных городских дорог в приведенных километрах, учитывались объемы городских площадей. В настоящее время с учетом поправок и корректировок протяженность автомобильных дорог считается в погонных километрах, объемы городских площадей не учтены. 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из года в год </w:t>
      </w:r>
      <w:proofErr w:type="spell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</w:t>
      </w:r>
      <w:proofErr w:type="spell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ремонт автомобильных дорог, количество </w:t>
      </w:r>
      <w:proofErr w:type="gram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дорог, не отвечающих нормативным требования в общей протяженности автомобильных дорог общего пользования местного значения уменьшается</w:t>
      </w:r>
      <w:proofErr w:type="gram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округа, в общей численности населения городского округа.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Среднемесячная номинальная начисленная заработная плата работников</w:t>
      </w: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крупных и средних предприятий и некоммерческих организаций городского округа 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Рост среднемесячной заработной платы работников крупных и средних предприятий и некоммерческих организаций городского округа  в 2013 году по сравнению с 2012 годом составил 8,9 %.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муниципальных дошкольных образовательных учреждений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муниципальных общеобразовательных учреждений: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ограниченных возможностей городского бюджета 2013 года были приняты все возможные меры по выполнению Указа Президента Российской Федерации от 07.05.2012 № 597 «О мероприятиях по реализации государственной социальной политики».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 динамике роста заработной платы в плановом периоде будут способствовать: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  <w:t xml:space="preserve">материальная поддержка лучших воспитателей ДОУ, учителей МОУ и педагогов дополнительного образования МДОУ через федеральные, региональные и муниципальные гранты, различные денежные поощрения  и профессиональные конкурсы.  </w:t>
      </w:r>
      <w:r w:rsidRPr="00B157E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Выполнение </w:t>
      </w: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муниципальной программы "Развитие системы "Образование" города Пскова на 2012-2014 годы», утвержденной Постановлением Администрации города Пскова от 17.01. 2012  № 32;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муниципальных учреждений культуры и искусства: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Достигнуть показателя в 2013 году удалось путем экономии средств муниципального задания на обеспечение деятельности учреждений и перераспределением их на расходы на заработную плату, а также выделением дополнительных средств на заработную плату в декабре 2013 года.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Дошкольное образование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157EF" w:rsidRPr="00B157EF" w:rsidRDefault="00B157EF" w:rsidP="00B157EF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9. </w:t>
      </w:r>
      <w:r w:rsidRPr="00B157E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связи с принятыми мерами</w:t>
      </w: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2013 году по увеличению количества мест в детских садах: открыто  дополнительных мест для 470 детей, в том числе открыты 2 группы, путём вывода 2-х начальных классов  из школы – сад № 38; </w:t>
      </w:r>
    </w:p>
    <w:p w:rsidR="00B157EF" w:rsidRPr="00B157EF" w:rsidRDefault="00B157EF" w:rsidP="00B157EF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начал работать новый детский сад (на 100 мест) в микрорайоне  «Кресты»;</w:t>
      </w:r>
    </w:p>
    <w:p w:rsidR="00B157EF" w:rsidRPr="00B157EF" w:rsidRDefault="00B157EF" w:rsidP="00B157EF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капитально отремонтировано   и оборудовано  здание на ул. Труда (здание бывшего детского сада, находящегося  в оперативном управлении погранично-таможенного-правового лицея), в котором открыт детский сад на 120 мест;  </w:t>
      </w:r>
    </w:p>
    <w:p w:rsidR="00B157EF" w:rsidRPr="00B157EF" w:rsidRDefault="00B157EF" w:rsidP="00B157EF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открыт новый детский сад (на 120 мест) на улице Коммунальной -  процент охвата детей в возрасте 1-6 </w:t>
      </w:r>
      <w:proofErr w:type="gram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 получающих дошкольную образовательную услугу увеличился</w:t>
      </w:r>
      <w:proofErr w:type="gram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, (при увеличении рождаемости).</w:t>
      </w:r>
    </w:p>
    <w:p w:rsidR="00B157EF" w:rsidRPr="00B157EF" w:rsidRDefault="00B157EF" w:rsidP="00B157EF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Планируется открытие дополнительных мест (20 мест) в МБОУ «Псковская школа-интернат», 40 мест в МБОУ  «Лицей № 4»,  40 мест в МБОУ «СОШ № 5», 50 мест в МБОУ «СОШ № 3».</w:t>
      </w:r>
    </w:p>
    <w:p w:rsidR="00B157EF" w:rsidRPr="00B157EF" w:rsidRDefault="00B157EF" w:rsidP="00B157EF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10. 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proofErr w:type="gramStart"/>
      <w:r w:rsidRPr="00B157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Показатель уменьшился до 34,5 %, в связи с тем, что при расчёте</w:t>
      </w: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учитывалось число всех детей состоящих на учете для определения в муниципальные дошкольные образовательные учреждения, включая детей из районов Псковской области (число детей, зарегистрированных в очереди от 1-6 лет -5 500 чел., количество детей в возрасте от 1-6 лет по  регистрационной базе  -15 940 чел., включая детей из районов Псковской</w:t>
      </w:r>
      <w:proofErr w:type="gram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области).</w:t>
      </w:r>
    </w:p>
    <w:p w:rsidR="00B157EF" w:rsidRPr="00B157EF" w:rsidRDefault="00B157EF" w:rsidP="00B157EF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Дети от 4 до 7 лет - 100% обеспечены местами в детских садах.</w:t>
      </w: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57EF" w:rsidRPr="00B157EF" w:rsidRDefault="00B157EF" w:rsidP="00B157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11. </w:t>
      </w:r>
      <w:r w:rsidRPr="00B157E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</w:r>
    </w:p>
    <w:p w:rsidR="00B157EF" w:rsidRPr="00B157EF" w:rsidRDefault="00B157EF" w:rsidP="00B157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Дефектные ведомости имеют два дошкольных образовательных учреждения -  МДОУ № 7 и МДОУ  № 49.</w:t>
      </w:r>
    </w:p>
    <w:p w:rsidR="00B157EF" w:rsidRPr="00B157EF" w:rsidRDefault="00B157EF" w:rsidP="00B157EF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bookmarkStart w:id="4" w:name="_GoBack"/>
      <w:bookmarkEnd w:id="4"/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и дополнительное образование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12. 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участвовавших в едином государственном экзамене по данным предметам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значение показателя влияет число не сдавших экзамен из числа выпускников вечерней школы - 47 человек из 59.</w:t>
      </w:r>
    </w:p>
    <w:p w:rsidR="00B157EF" w:rsidRPr="00B157EF" w:rsidRDefault="00B157EF" w:rsidP="00B1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Системная работа педагогических коллективов общеобразовательных учреждений со слабоуспевающими учащимися, использование эффективных педагогических методов и технологий  позволят улучшить данный показатель. Однако значение данного показателя зависит также от подбора выпускников 11-12 классов, который изменяется из года в год и не является постоянным.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13. 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Доля выпускников муниципальных общеобразовательных учреждений, не получивших аттестат о среднем (полном) образовании,</w:t>
      </w:r>
      <w:r w:rsidRPr="00B157E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в общей численности   выпускников муниципальных  общеобразовательных  учреждений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Значение показателя - 5,3%, как и 2012 году. Однако </w:t>
      </w: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неудовлетворительных результатов по обязательным предметам в 2013 году  незначительно, но снизилось: их получили 59 человек  (в 2012 году   таких было - 64 человека). Наибольшее количество неудовлетворительных отметок получают выпускники вечерней школы. Однако если рассмотреть статистику неудовлетворительных результатов ЕГЭ только «дневных»  школ, то процент не прошедших итоговую аттестацию уменьшится до 1,2%.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Системная работа педагогических коллективов общеобразовательных учреждений со слабоуспевающими учащимися, использование эффективных педагогических методов и технологий  позволят улучшить данный показатель. Однако значение данного показа-</w:t>
      </w:r>
    </w:p>
    <w:p w:rsidR="00B157EF" w:rsidRPr="00B157EF" w:rsidRDefault="00B157EF" w:rsidP="00B1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зависит также от подбора выпускников 11-12 классов, который изменяется из года в год и не является постоянным.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B157E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Доля муниципальных общеобразовательных учреждений, соответствующих современным требованиям обучения, в общем количестве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муниципальных общеобразовательных учреждений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2013 году продолжалась поставка оборудования (для школьных столовых, медицинских кабинетов, оборудование учебных кабинетов: интерактивные доски, компьютеры) и были выделены средства на приобретение учебников в фонды школьных библиотек в рамках проекта Модернизации региональной системы общего образования.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15. Количество муниципальных общеобразовательных учреждений, здания которых находятся в аварийном состоянии или требуют капитального ремонта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устранение аварийных ситуаций, проведение ремонтных работ и замена </w:t>
      </w:r>
      <w:proofErr w:type="spell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</w:t>
      </w:r>
      <w:proofErr w:type="spell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технических коммуникаций позволяют  поддерживать здания муниципальных общеобразовательных учреждений  в удовлетворительном состоянии. Закрыта на капитальный ремонт МОУ «Средняя общеобразовательная школа № 47»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Доля детей первой и второй групп здоровья в общей </w:t>
      </w:r>
      <w:proofErr w:type="gramStart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численности</w:t>
      </w:r>
      <w:proofErr w:type="gramEnd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обучающихся в муниципальных общеобразовательных учреждениях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Зависит от здоровья детей, поступающих в общеобразовательные учреждения. Управление образования Администрации города Пскова и педагогические коллективы муниципальных общеобразовательных учреждений работают по здоровью сбережению школьников (введение третьего часа физической культуры в учебный план),  выполняя  требования  </w:t>
      </w:r>
      <w:proofErr w:type="spell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САНиПинов</w:t>
      </w:r>
      <w:proofErr w:type="spell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Реализуются программы «Здоровье» на уровне учреждений. Такая работа позволяет повысить значение данного показателя.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17. </w:t>
      </w:r>
      <w:r w:rsidRPr="00B157E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B157E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численности</w:t>
      </w:r>
      <w:proofErr w:type="gramEnd"/>
      <w:r w:rsidRPr="00B157E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обучающихся в муниципальных общеобразовательных учреждениях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Pr="00B157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связи с увеличением рождаемости и отсутствием строительства новых школ, растет количество детей, занимающихся во вторую смену, особенно в школах микрорайона  </w:t>
      </w:r>
      <w:proofErr w:type="spellStart"/>
      <w:r w:rsidRPr="00B157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Завеличье</w:t>
      </w:r>
      <w:proofErr w:type="spellEnd"/>
      <w:r w:rsidRPr="00B157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где ведется интенсивное строительство жилых домов.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18. Расходы бюджета муниципального образования на общее образование</w:t>
      </w:r>
      <w:r w:rsidRPr="00B157E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в расчете на 1 обучающегося в муниципальных общеобразовательных учреждениях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Снижение показателя в отчетном периоде обусловлено изменениями в расчете показателя. Согласно инструкции Министерства регионального развития при расчете учитывается объем расходов бюджета на общее образование (без фонда оплаты труда) </w:t>
      </w:r>
      <w:proofErr w:type="gramStart"/>
      <w:r w:rsidRPr="00B157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согласно подраздела</w:t>
      </w:r>
      <w:proofErr w:type="gramEnd"/>
      <w:r w:rsidRPr="00B157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0702 "Общее образование" бюджета. В предшествующие периоды кроме подраздела 0702 учитывались и расходы по подразделу 0709 "Другие вопросы в области образования". В случае расчета показателя отчетного периода по ранее действующей методике он составил бы 13,3 </w:t>
      </w:r>
      <w:proofErr w:type="spellStart"/>
      <w:r w:rsidRPr="00B157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тыс</w:t>
      </w:r>
      <w:proofErr w:type="gramStart"/>
      <w:r w:rsidRPr="00B157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.р</w:t>
      </w:r>
      <w:proofErr w:type="gramEnd"/>
      <w:r w:rsidRPr="00B157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уб</w:t>
      </w:r>
      <w:proofErr w:type="spellEnd"/>
      <w:r w:rsidRPr="00B157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Кроме того, следует отметить что на снижение показателя оказывает влияние увеличение среднегодовой численности учащихся муниципальных общеобразовательных учреждений с 18 350 чел. в 2012 году до 20 524 чел. в 2013 году. Снижение показателя в плановом периоде обусловлено следующими факторами: прогнозное увеличение среднегодовой численности учащихся до 20 873 чел., а также сокращение планируемых межбюджетных трансфертов: в 2014 году - 87 037,9 </w:t>
      </w:r>
      <w:proofErr w:type="spellStart"/>
      <w:r w:rsidRPr="00B157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тыс</w:t>
      </w:r>
      <w:proofErr w:type="gramStart"/>
      <w:r w:rsidRPr="00B157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.р</w:t>
      </w:r>
      <w:proofErr w:type="gramEnd"/>
      <w:r w:rsidRPr="00B157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уб</w:t>
      </w:r>
      <w:proofErr w:type="spellEnd"/>
      <w:r w:rsidRPr="00B157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., в 2015 году 86 424,7 </w:t>
      </w:r>
      <w:proofErr w:type="spellStart"/>
      <w:r w:rsidRPr="00B157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тыс.руб</w:t>
      </w:r>
      <w:proofErr w:type="spellEnd"/>
      <w:r w:rsidRPr="00B157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., в 2016 году - 80 820,7 </w:t>
      </w:r>
      <w:proofErr w:type="spellStart"/>
      <w:r w:rsidRPr="00B157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тыс.руб</w:t>
      </w:r>
      <w:proofErr w:type="spellEnd"/>
      <w:r w:rsidRPr="00B157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B157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157E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 </w:t>
      </w:r>
      <w:r w:rsidRPr="00B157EF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</w:t>
      </w:r>
      <w:r w:rsidRPr="00B157E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в общей численности детей данной возрастной группы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педагогических коллективов учреждений дополнительного образования по повышению качества образовательных услуг и расширению спектра услуг позволяет увеличить значение данного показателя.</w:t>
      </w:r>
      <w:r w:rsidRPr="00B1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количество детских объединений (кружков, секций, студий и т. п.) и их разнообразие, в том числе оказываются платные образовательные услуги.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 Пскове сложилась стабильная система начального профессионального музыкального и художественного образования. 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стабильной работы муниципальных образовательных учреждений дополнительного образования детей и муниципальных учреждений культуры, доступности и равных возможностей в получении музыкального и художественного образования одно из главных направлений отрасли культуры.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</w:t>
      </w:r>
    </w:p>
    <w:p w:rsidR="00B157EF" w:rsidRPr="00B157EF" w:rsidRDefault="00B157EF" w:rsidP="00B157E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20. 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Уровень фактической обеспеченности учреждениями культуры  от нормативной потребности:</w:t>
      </w:r>
    </w:p>
    <w:p w:rsidR="00B157EF" w:rsidRPr="00B157EF" w:rsidRDefault="00B157EF" w:rsidP="00B157EF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клубами и учреждениями клубного типа, библиотеками, парками культуры и отдыха</w:t>
      </w:r>
    </w:p>
    <w:p w:rsidR="00B157EF" w:rsidRPr="00B157EF" w:rsidRDefault="00B157EF" w:rsidP="00B157EF">
      <w:pPr>
        <w:spacing w:after="0" w:line="240" w:lineRule="auto"/>
        <w:ind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работают 11 библиотек, 3 учреждения культурно-досугового типа, 1 парк культуры и отдыха. Среднее число жителей на одну библиотеку – 18 745 человек. Процент охвата населения библиотечным обслуживанием составляет –  23,9 %. Число читателей в 2013 году – 49 322 человек. Количество читателей уменьшилось по сравнению с 2012 годом на  2,7 %. Количество посещений в 2013 году составило – 1178281, в сравнении с предыдущим годом количество посещений выросло на  4,8 %.</w:t>
      </w:r>
    </w:p>
    <w:p w:rsidR="00B157EF" w:rsidRPr="00B157EF" w:rsidRDefault="00B157EF" w:rsidP="00B157EF">
      <w:pPr>
        <w:spacing w:after="0" w:line="240" w:lineRule="auto"/>
        <w:ind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Прирост посещений за последние 3 года идет за счет постоянно растущего количества обращений виртуальных пользователей к информационным ресурсам сайтов МАУК «ЦБС» г. Пскова. Имеет положительную динамику и количество посещений библиотечных массовых мероприятий.</w:t>
      </w:r>
    </w:p>
    <w:p w:rsidR="00B157EF" w:rsidRPr="00B157EF" w:rsidRDefault="00B157EF" w:rsidP="00B157EF">
      <w:pPr>
        <w:autoSpaceDE w:val="0"/>
        <w:autoSpaceDN w:val="0"/>
        <w:adjustRightInd w:val="0"/>
        <w:spacing w:after="0" w:line="240" w:lineRule="auto"/>
        <w:ind w:firstLine="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Муниципальные учреждения культуры провели для населения в 2013 году около 3 тысяч мероприятий. МП г. Пскова "Городской парк культуры и отдыха им. А.С. Пушкина" за 2013 год посетило 31704  человека. Укрепление материально-технической базы парка осуществлялось за счет собственных средств учреждения.</w:t>
      </w:r>
    </w:p>
    <w:p w:rsidR="00B157EF" w:rsidRPr="00B157EF" w:rsidRDefault="00B157EF" w:rsidP="00B157EF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B157E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</w:t>
      </w:r>
      <w:proofErr w:type="spellStart"/>
      <w:proofErr w:type="gramStart"/>
      <w:r w:rsidRPr="00B157E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муниципаль-ных</w:t>
      </w:r>
      <w:proofErr w:type="spellEnd"/>
      <w:proofErr w:type="gramEnd"/>
      <w:r w:rsidRPr="00B157E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учреждений культуры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2013 году в капитальном ремонте нуждались учреждения культуры: МБОУ ДОД «Детская музыкальная школа № 1 им. Н.А. Римского-Корсакова»; МБУК «Городской культурный центр»; МБУК «Дом офицеров».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ДОД «Детская музыкальная школа № 1 им. Н.А. Римского-Корсакова» является объектом культурного наследия регионального значения – «Банк Государственный Российской империи»; год постройки здания – 1908-1910 гг. Здание школы расположено в историческом центре города, по адресу: ул. Советская, д. 44. В целях сохранения объекта культурного наследия и создания нормальных условий для его использования необходимо провести  ремонтно-реставрационные работы и благоустройство территории объекта культурного наследия (акт </w:t>
      </w:r>
      <w:proofErr w:type="gram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 технического состояния объекта культурного наследия регионального значения</w:t>
      </w:r>
      <w:proofErr w:type="gram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27.12.2012 г.).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«Дом офицеров» является объектом культурного наследия – памятник: «Казармы Омского полка», 1903 года постройки. Расположено недалеко от центра города, по адресу: г. Псков, ул. Комдива Кирсанова, д. 5. Укрепление материально-технической базы МБУК «Дом офицеров» остаётся важнейшим направлением культурной деятельности. В настоящее время требуют срочного капитального ремонта: инженерные и электрические сети, требуется замена окон.</w:t>
      </w:r>
    </w:p>
    <w:p w:rsidR="00B157EF" w:rsidRPr="00B157EF" w:rsidRDefault="00B157EF" w:rsidP="00B157EF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2013 году начался капитальный ремонт МБУК «Городской культурный центр». Начался монтаж электрических сетей, проведены работы по установке насосной станции внутреннего противопожарного водопровода, установлена система пожаротушения и </w:t>
      </w:r>
      <w:proofErr w:type="spell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дымоудаления</w:t>
      </w:r>
      <w:proofErr w:type="spell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здании. На сегодняшний день требуются работы по установке и замене вентиляционной и отопительной систем здания и также ремонт концертных залов. </w:t>
      </w:r>
    </w:p>
    <w:p w:rsidR="00B157EF" w:rsidRPr="00B157EF" w:rsidRDefault="00B157EF" w:rsidP="00B157E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22. </w:t>
      </w:r>
      <w:r w:rsidRPr="00B157E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Доля объектов культурного  наследия, находящихся в муниципальной собственности и требующих консервации или реставрации, в общем количестве объектов культурного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наследия, находящихся в муниципальной собственности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 в муниципальной собственности находится 55 объектов культурного наследия (далее – ОКН) федерального и регионального значения. 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ОКН в настоящее время устанавливается на основании актов обследования технического состояния (имеется 1 акт на ОКН «Здание  финансового банка,  </w:t>
      </w:r>
      <w:smartTag w:uri="urn:schemas-microsoft-com:office:smarttags" w:element="metricconverter">
        <w:smartTagPr>
          <w:attr w:name="ProductID" w:val="1910 г"/>
        </w:smartTagPr>
        <w:r w:rsidRPr="00B157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1910 г</w:t>
        </w:r>
      </w:smartTag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(ул. Советская, 44) и 25 актов обследования  жилых помещений Межведомственной комиссии. </w:t>
      </w:r>
      <w:proofErr w:type="gramEnd"/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постоянном количестве ОКН, числящихся в реестре муниципального имущества, в 2010-2013  увеличивается число ОКН, требующих реставрации  (на основании составленных актов), в то время как средства на реставрацию не выделяются.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01.01.2012 (сохраняется на настоящий момент) 26 из 55 объектов </w:t>
      </w:r>
      <w:proofErr w:type="gram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признаны</w:t>
      </w:r>
      <w:proofErr w:type="gram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ветхими, аварийными или требующими капитального ремонта.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 ОКН, </w:t>
      </w:r>
      <w:proofErr w:type="gram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числящихся</w:t>
      </w:r>
      <w:proofErr w:type="gram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муниципального имущества, включены в прогнозный план приватизации муниципального имущества города Пскова на 2014 год: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Здание производственного назначения (Дом </w:t>
      </w:r>
      <w:proofErr w:type="spellStart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Седельщикова</w:t>
      </w:r>
      <w:proofErr w:type="spellEnd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),  </w:t>
      </w:r>
      <w:proofErr w:type="gramStart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gramEnd"/>
      <w:r w:rsidRPr="00B157E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YII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–кон Х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 в. (ул. Герцена 5); 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Дом жилой, Х1Х-ХХ вв. (Комсомольский переулок,  4-б); 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Дом мещанский, сер. Х1Х в. (ул. Красных партизан, 13); 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 жилой (Усадьба Андреева П.П.), кон. Х1Х - нач. ХХ вв</w:t>
      </w:r>
      <w:proofErr w:type="gramStart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.(</w:t>
      </w:r>
      <w:proofErr w:type="gramEnd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ул. </w:t>
      </w:r>
      <w:proofErr w:type="spellStart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О.Кошевого</w:t>
      </w:r>
      <w:proofErr w:type="spellEnd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5);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Дом жилой </w:t>
      </w:r>
      <w:proofErr w:type="spellStart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Березского</w:t>
      </w:r>
      <w:proofErr w:type="spellEnd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В.И., </w:t>
      </w:r>
      <w:smartTag w:uri="urn:schemas-microsoft-com:office:smarttags" w:element="metricconverter">
        <w:smartTagPr>
          <w:attr w:name="ProductID" w:val="1877 г"/>
        </w:smartTagPr>
        <w:r w:rsidRPr="00B157EF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1877 г</w:t>
        </w:r>
      </w:smartTag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(ул. Некрасова, 41/2);</w:t>
      </w:r>
    </w:p>
    <w:p w:rsidR="00B157EF" w:rsidRPr="00B157EF" w:rsidRDefault="00B157EF" w:rsidP="00B157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Усадьба городская </w:t>
      </w:r>
      <w:proofErr w:type="spellStart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Пошиваловой</w:t>
      </w:r>
      <w:proofErr w:type="spellEnd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А.М. Флигель жилой доходный,  </w:t>
      </w:r>
      <w:smartTag w:uri="urn:schemas-microsoft-com:office:smarttags" w:element="metricconverter">
        <w:smartTagPr>
          <w:attr w:name="ProductID" w:val="1894 г"/>
        </w:smartTagPr>
        <w:r w:rsidRPr="00B157EF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1894 г</w:t>
        </w:r>
      </w:smartTag>
      <w:proofErr w:type="gramStart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.(</w:t>
      </w:r>
      <w:proofErr w:type="gramEnd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ул. Пушкина, 14)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Дом жилой, </w:t>
      </w:r>
      <w:smartTag w:uri="urn:schemas-microsoft-com:office:smarttags" w:element="metricconverter">
        <w:smartTagPr>
          <w:attr w:name="ProductID" w:val="1936 г"/>
        </w:smartTagPr>
        <w:r w:rsidRPr="00B157EF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1936 г</w:t>
        </w:r>
      </w:smartTag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(ул. Л. </w:t>
      </w:r>
      <w:proofErr w:type="spellStart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Поземского</w:t>
      </w:r>
      <w:proofErr w:type="spellEnd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31-б)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Дом жилой, Х1Х </w:t>
      </w:r>
      <w:proofErr w:type="gramStart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–Х</w:t>
      </w:r>
      <w:proofErr w:type="gramEnd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 вв. (ул. Школьная, 21)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Дом жилой,  1 пол. Х1Х вв. </w:t>
      </w: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(ул. Советская,  42)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Палаты, 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XVII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 ул. Гоголя, д. 7-б (мансардный этаж) </w:t>
      </w:r>
      <w:proofErr w:type="gramStart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ул. Гоголя,7-а) 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Это уменьшит общее количество ОКН, </w:t>
      </w:r>
      <w:proofErr w:type="gram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муниципальной собственности.  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числе включенных в прогнозный план приватизации   - 7 объектов требующих реставрации, что сократит в 2014 году долю объектов, требующих реставрации: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Дом жилой, Х1Х-ХХ вв. (Комсомольский переулок,  4-б); 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Дом мещанский, сер. Х1Х в. (ул. Красных партизан, 13); 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 жилой (Усадьба Андреева П.П.), кон. Х1Х - нач. ХХ вв</w:t>
      </w:r>
      <w:proofErr w:type="gramStart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.(</w:t>
      </w:r>
      <w:proofErr w:type="gramEnd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ул. </w:t>
      </w:r>
      <w:proofErr w:type="spellStart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О.Кошевого</w:t>
      </w:r>
      <w:proofErr w:type="spellEnd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5);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Дом жилой </w:t>
      </w:r>
      <w:proofErr w:type="spellStart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Березского</w:t>
      </w:r>
      <w:proofErr w:type="spellEnd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В.И., </w:t>
      </w:r>
      <w:smartTag w:uri="urn:schemas-microsoft-com:office:smarttags" w:element="metricconverter">
        <w:smartTagPr>
          <w:attr w:name="ProductID" w:val="1877 г"/>
        </w:smartTagPr>
        <w:r w:rsidRPr="00B157EF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1877 г</w:t>
        </w:r>
      </w:smartTag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(ул. Некрасова, 42/1);</w:t>
      </w:r>
    </w:p>
    <w:p w:rsidR="00B157EF" w:rsidRPr="00B157EF" w:rsidRDefault="00B157EF" w:rsidP="00B157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Усадьба городская </w:t>
      </w:r>
      <w:proofErr w:type="spellStart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Пошиваловой</w:t>
      </w:r>
      <w:proofErr w:type="spellEnd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А.М. Флигель жилой доходный,  </w:t>
      </w:r>
      <w:smartTag w:uri="urn:schemas-microsoft-com:office:smarttags" w:element="metricconverter">
        <w:smartTagPr>
          <w:attr w:name="ProductID" w:val="1894 г"/>
        </w:smartTagPr>
        <w:r w:rsidRPr="00B157EF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1894 г</w:t>
        </w:r>
      </w:smartTag>
      <w:proofErr w:type="gramStart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.(</w:t>
      </w:r>
      <w:proofErr w:type="gramEnd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ул. Пушкина, 14)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Дом жилой, </w:t>
      </w:r>
      <w:smartTag w:uri="urn:schemas-microsoft-com:office:smarttags" w:element="metricconverter">
        <w:smartTagPr>
          <w:attr w:name="ProductID" w:val="1936 г"/>
        </w:smartTagPr>
        <w:r w:rsidRPr="00B157EF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1936 г</w:t>
        </w:r>
      </w:smartTag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(ул. Л. </w:t>
      </w:r>
      <w:proofErr w:type="spellStart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Поземского</w:t>
      </w:r>
      <w:proofErr w:type="spellEnd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31-б)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Дом жилой, Х1Х </w:t>
      </w:r>
      <w:proofErr w:type="gramStart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–Х</w:t>
      </w:r>
      <w:proofErr w:type="gramEnd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 вв. (ул. Школьная, 21)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 капитального ремонта на 2014 год включены следующие объекты:</w:t>
      </w:r>
    </w:p>
    <w:p w:rsidR="00B157EF" w:rsidRPr="00B157EF" w:rsidRDefault="00B157EF" w:rsidP="00B157EF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Офицерский флигель 96-го пехотного Омского полка, </w:t>
      </w:r>
      <w:smartTag w:uri="urn:schemas-microsoft-com:office:smarttags" w:element="metricconverter">
        <w:smartTagPr>
          <w:attr w:name="ProductID" w:val="1904 г"/>
        </w:smartTagPr>
        <w:r w:rsidRPr="00B157EF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1904 г</w:t>
        </w:r>
      </w:smartTag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(пер. Дружбы, 4)</w:t>
      </w:r>
    </w:p>
    <w:p w:rsidR="00B157EF" w:rsidRPr="00B157EF" w:rsidRDefault="00B157EF" w:rsidP="00B157EF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 жилой,   нач. ХХ в. (ул. Металлистов  8)</w:t>
      </w:r>
    </w:p>
    <w:p w:rsidR="00B157EF" w:rsidRPr="00B157EF" w:rsidRDefault="00B157EF" w:rsidP="00B157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 жилой,   кон. Х1Х в. (ул. Советская, 25)</w:t>
      </w:r>
    </w:p>
    <w:p w:rsidR="00B157EF" w:rsidRPr="00B157EF" w:rsidRDefault="00B157EF" w:rsidP="00B157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 жилой доходный, кон. Х1Х в. (ул. Советская, 45)</w:t>
      </w:r>
    </w:p>
    <w:p w:rsidR="00B157EF" w:rsidRPr="00B157EF" w:rsidRDefault="00B157EF" w:rsidP="00B157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Дом, в котором жил писатель Брандт Л.В., 1945-1949гг. (Рижский пр-т, 5/12)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 жилой доходный, Х1Х в. (ул. Пушкина, 8)</w:t>
      </w:r>
    </w:p>
    <w:p w:rsidR="00B157EF" w:rsidRPr="00B157EF" w:rsidRDefault="00B157EF" w:rsidP="00B157EF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Дом жилой, 1950г.  </w:t>
      </w:r>
      <w:proofErr w:type="gramStart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ул. Металлистов, 34)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показателя в 2015 и далее годах  зависит от выделения средств на капитальный ремонт (реставрацию), а также выделения средств по программе расселения из ветхого жилья.  </w:t>
      </w:r>
    </w:p>
    <w:p w:rsidR="00B157EF" w:rsidRPr="00B157EF" w:rsidRDefault="00B157EF" w:rsidP="00B15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Физическая культура и спорт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Доля населения, систематически </w:t>
      </w:r>
      <w:proofErr w:type="gramStart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занимающихся</w:t>
      </w:r>
      <w:proofErr w:type="gramEnd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физической культурой и спортом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Популяризация здорового образа жизни, создание условий для занятий спортом. 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большое внимание уделяется пропаганде физической культуры и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спорта.  Все проводимые в городе спортивно-массовые и оздоровительные мероприятия освещаются в  средствах массовой информации, на радио, телевидении на интернет-сайте. Комитет по физической культуре, спорту и делам молодежи издает ежемесячную газету «Спорт и молодость Пскова».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итогам года проводится</w:t>
      </w:r>
      <w:r w:rsidRPr="00B157EF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конкурсный отбор и награждение лучших тренеров и их воспитанников на традиционном мероприятии «Ассамблея звезд» с вручением Почетных грамот  комитета и призов. </w:t>
      </w:r>
    </w:p>
    <w:p w:rsidR="00B157EF" w:rsidRPr="00B157EF" w:rsidRDefault="00B157EF" w:rsidP="00B15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57E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Проведение комплексных общегородских спортивно-массовых мероприятий с целью привлечения населения к систематическим занятиям физической культурой и спортом. </w:t>
      </w:r>
      <w:r w:rsidRPr="00B157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2013 году проведено более 490 спортивно-массовых мероприятий, в том числе 177 выездных соревнований. Общее количество участников составило более 33 тысяч человек. </w:t>
      </w:r>
    </w:p>
    <w:p w:rsidR="00B157EF" w:rsidRPr="00B157EF" w:rsidRDefault="00B157EF" w:rsidP="00B15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57E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Создание условий для систематических занятий физической культурой и спортом различных возрастных категорий населения. </w:t>
      </w:r>
      <w:r w:rsidRPr="00B157EF">
        <w:rPr>
          <w:rFonts w:ascii="Times New Roman" w:eastAsia="Times New Roman" w:hAnsi="Times New Roman" w:cs="Times New Roman"/>
          <w:sz w:val="24"/>
          <w:szCs w:val="20"/>
          <w:lang w:eastAsia="ru-RU"/>
        </w:rPr>
        <w:t>В городе организована  спортивно-массовая работа среди студенческой и учащейся молодежи. Проводится Спартакиада среди высших учебных заведений, средних специальных учебных заведений и профтехучилищ по 10-ти видам спорта. Значительное внимание в городе уделяется организации спортивно-оздоровительной  работы с маломобильной группой населения.  В спортивных секциях по адаптивному спорту  занимается 174 человека с ограниченными возможностями от 14 лет и старше.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B15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Жилищное строительство и обеспечение граждан жильем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Общая площадь жилых помещений, приходящаяся в среднем на одного жителя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Ввиду отсутствия проектов планировки на новые незастроенные микрорайоны в 2014 году показатель останется на уровне 2013 года. При условии в 2014 году подготовки проекта планировки под многоэтажную застройку в 2015-2016 годах возможно увеличение объема строительства. 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Площадь земельных участков, предоставленных для строительства</w:t>
      </w: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57EF" w:rsidRPr="00B157EF" w:rsidRDefault="00B157EF" w:rsidP="00B1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2011 года предоставление земельных участков, находящихся в муниципальной собственности, для строительства не осуществлялось, так как соответствующих земельных участков в муниципальной собственности не имелось. </w:t>
      </w:r>
      <w:proofErr w:type="gram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2011 года началось формирование (в 2012, 2013 годах работа по формированию продолжилась) земельных участков, планируемых к предоставлению для строительства (в том числе жилищного строительства, индивидуального строительства) на торгах, под аварийными и ветхими домами, включенными в областные адресные программы по переселению</w:t>
      </w:r>
      <w:hyperlink r:id="rId5" w:anchor="C6" w:history="1"/>
      <w:bookmarkStart w:id="5" w:name="C7"/>
      <w:bookmarkEnd w:id="5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hyperlink r:id="rId6" w:anchor="C8" w:history="1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hyperlink r:id="rId7" w:anchor="C7" w:history="1"/>
      <w:bookmarkStart w:id="6" w:name="C8"/>
      <w:bookmarkEnd w:id="6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аварийного</w:t>
      </w:r>
      <w:proofErr w:type="gram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zavet.pskovtel.ru/pskov?doc&amp;nd=924018654&amp;nh=1&amp;c=%CF%C5%D0%C5%D1%C5%CB%C5%CD%C8%C5+%C0%C2%C0%D0%C8%C9%CD%DB%D5+%C4%CE%CC%CE%C2+%C3%D0%C0%C6%C4%C0%CD&amp;spack=111barod%3Dx%5C136;y%5C17%26intelsearch%3D%EF%E5%F0%E5%F1%E5%EB%E5%ED%E8%E5+%E3%F0%E0%E6%E4%E0%ED+%E8%E7+%E0%E2%E0%F0%E8%E9%ED%FB%F5+%E4%EE%EC%EE%E2%26listid%3D010000000100%26listpos%3D4%26lsz%3D349%26w%3D0;1;2%26whereselect%3D-1%26" \l "C9" </w:instrText>
      </w: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фонда. </w:t>
      </w:r>
    </w:p>
    <w:p w:rsidR="00B157EF" w:rsidRPr="00B157EF" w:rsidRDefault="00B157EF" w:rsidP="00B157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планируемых значений показателя в 2013 году было объявлено 35 аукционов (в том числе повторных) по продаже 10 муниципальных земельных участков, из которых состоялся 1 аукцион для строительства гостиницы. По результатам  3 несостоявшихся аукционов по продаже земельных участков для жилищного строительства были заключены договоры купли-продажи с участниками аукционов, подавшими единственные заявки.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Площадь земельных участков, предоставленных для строительства, в отношении которых </w:t>
      </w:r>
      <w:proofErr w:type="gramStart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даты принятия</w:t>
      </w:r>
      <w:proofErr w:type="gramEnd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объектов жилищного строительства - в течение 3 лет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данных, т.к. в соответствии с Законом Псковской области от 29.12.2005 «Об отдельных положениях регулирования земельных отношений на территории Псковской области» с 10 апреля 2006 года предоставление земельных участков находится в компетенции Администрации Псковской области.</w:t>
      </w:r>
    </w:p>
    <w:p w:rsidR="00B157EF" w:rsidRPr="00B157EF" w:rsidRDefault="00B157EF" w:rsidP="00B157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Жилищно-коммунальное хозяйство</w:t>
      </w:r>
    </w:p>
    <w:p w:rsidR="00B157EF" w:rsidRPr="00B157EF" w:rsidRDefault="00B157EF" w:rsidP="00B157EF">
      <w:pPr>
        <w:widowControl w:val="0"/>
        <w:autoSpaceDE w:val="0"/>
        <w:autoSpaceDN w:val="0"/>
        <w:adjustRightInd w:val="0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</w:t>
      </w:r>
      <w:r w:rsidRPr="00B157E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, в общем числе многоквартирных домов, в которых собственники  помещений должны выбрать способ управления данными  домами</w:t>
      </w:r>
    </w:p>
    <w:p w:rsidR="00B157EF" w:rsidRPr="00B157EF" w:rsidRDefault="00B157EF" w:rsidP="00B157EF">
      <w:pPr>
        <w:widowControl w:val="0"/>
        <w:autoSpaceDE w:val="0"/>
        <w:autoSpaceDN w:val="0"/>
        <w:adjustRightInd w:val="0"/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Муниципалитет проводит работу по созданию равных условий, благоприятных для конкуренции. Планируется рост общего количества обслуживающих организаций за счет частных организаций.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28</w:t>
      </w: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</w:t>
      </w:r>
      <w:proofErr w:type="gramEnd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 (далее – ОКК), </w:t>
      </w:r>
      <w:proofErr w:type="gramStart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осуществляющих</w:t>
      </w:r>
      <w:proofErr w:type="gramEnd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свою деятельность на территории городского округа (муниципального района)</w:t>
      </w:r>
    </w:p>
    <w:p w:rsidR="00B157EF" w:rsidRPr="00B157EF" w:rsidRDefault="00B157EF" w:rsidP="00B157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Закона №185-ФЗ для подачи заявки для получения денежных средств из Фонда реформирования ЖКХ на капитальный ремонт </w:t>
      </w:r>
      <w:proofErr w:type="spell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ж.ф</w:t>
      </w:r>
      <w:proofErr w:type="spell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переселение граждан из ветхого жилья необходимо, чтобы доля данных  ОКК  в </w:t>
      </w: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общем кол-ве ОКК с 01.01.2010 по 01.01.2011 </w:t>
      </w:r>
      <w:proofErr w:type="spell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оставляла</w:t>
      </w:r>
      <w:proofErr w:type="spell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50%. А с 01.01.2011 года - не менее 80%.</w:t>
      </w:r>
    </w:p>
    <w:p w:rsidR="00B157EF" w:rsidRPr="00B157EF" w:rsidRDefault="00B157EF" w:rsidP="00B157E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2011 году была проведена работа по сверке с Комитетом Псковской области по тарифам всех немуниципальных котельных и внесение данных котельных  в реестр для подачи заявки. </w:t>
      </w:r>
    </w:p>
    <w:p w:rsidR="00B157EF" w:rsidRPr="00B157EF" w:rsidRDefault="00B157EF" w:rsidP="00B157E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01.01.2014 года ОКК, у </w:t>
      </w:r>
      <w:proofErr w:type="gram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доля составляет не более 25% составил 80%. </w:t>
      </w:r>
    </w:p>
    <w:p w:rsidR="00B157EF" w:rsidRPr="00B157EF" w:rsidRDefault="00B157EF" w:rsidP="00B157E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 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 w:rsidRPr="00B157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завершатся работы по постановке на государственный кадастровый учет земельных участков под многоквартирными жилыми домами. </w:t>
      </w:r>
    </w:p>
    <w:p w:rsidR="00B157EF" w:rsidRPr="00B157EF" w:rsidRDefault="00B157EF" w:rsidP="00B157E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proofErr w:type="gramStart"/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Доля населения, получившего жилые помещения и улучшившего жилищные условия  в отчетном году, в общей численности населения,  состоящего на учете в качестве нуждающегося в  жилых помещениях</w:t>
      </w:r>
      <w:proofErr w:type="gramEnd"/>
    </w:p>
    <w:p w:rsidR="00B157EF" w:rsidRPr="00B157EF" w:rsidRDefault="00B157EF" w:rsidP="00B157E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показателя в 2012 году  - в связи неучастием в областной программе «Переселение граждан из аварийного жилищного фонда» и отсутствием финансирования мероприятий долгосрочных целевых программ «Жилище» (Постановление Администрации города Пскова от 15.10.2009 № 1823), «Очередь» (Постановление Администрации города Пскова от  12.12.2011 № 3074). В 2013 году – план выполнен.</w:t>
      </w:r>
    </w:p>
    <w:p w:rsidR="00B157EF" w:rsidRPr="00B157EF" w:rsidRDefault="00B157EF" w:rsidP="00B157E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157EF" w:rsidRPr="00B157EF" w:rsidRDefault="00B157EF" w:rsidP="00B157E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муниципального управления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7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31. 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Pr="00B1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доли налоговых и неналоговых доходов в 2013 году по отношению к 2012 году связан с уменьшением в 2013 году суммы субсидий в общем объеме собственных доходов (факт 2012 года – 652,1 </w:t>
      </w:r>
      <w:proofErr w:type="spell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факт 2013 года 608,4 </w:t>
      </w:r>
      <w:proofErr w:type="spell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 также с увеличением поступлений земельного налога, в связи с изменением кадастровой стоимости земли в соответствии с  Постановлением Администрации Псковской области от 29.11.2011 №477 (факт 2012 года-140 </w:t>
      </w:r>
      <w:proofErr w:type="spell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факт 2013 года -194,9 </w:t>
      </w:r>
      <w:proofErr w:type="spell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Рост доли налоговых и неналоговых доходов в 2014 году и плановом периоде 2015 и 2016 годов обусловлен значительным снижением суммы субсидий в общем объеме собственных доходов по отношению к 2013 году (факт 2013 года - 608,4 </w:t>
      </w:r>
      <w:proofErr w:type="spell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план 2014 год – 363,5 </w:t>
      </w:r>
      <w:proofErr w:type="spell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2015год – 388,6 </w:t>
      </w:r>
      <w:proofErr w:type="spell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2016 год – 380,8 </w:t>
      </w:r>
      <w:proofErr w:type="spell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В 2014 году также запланировано поступление доходов от продажи материальных и нематериальных активов в сумме 230,3 </w:t>
      </w:r>
      <w:proofErr w:type="spell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., факт 2013 года - 92,3млн.руб.)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Pr="00B157E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</w:t>
      </w:r>
      <w:proofErr w:type="gramStart"/>
      <w:r w:rsidRPr="00B157E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( </w:t>
      </w:r>
      <w:proofErr w:type="gramEnd"/>
      <w:r w:rsidRPr="00B157E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на конец года, по полной учетной стоимости)</w:t>
      </w:r>
    </w:p>
    <w:p w:rsidR="00B157EF" w:rsidRPr="00B157EF" w:rsidRDefault="00B157EF" w:rsidP="00B157E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итогам 2013 года значение показателя – 0,0. Этому способствовало:</w:t>
      </w:r>
    </w:p>
    <w:p w:rsidR="00B157EF" w:rsidRPr="00B157EF" w:rsidRDefault="00B157EF" w:rsidP="00B1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увеличение </w:t>
      </w:r>
      <w:proofErr w:type="gram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основных фондов организаций муниципальной формы собственности</w:t>
      </w:r>
      <w:proofErr w:type="gram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закрепления за ними муниципального имущества на праве хозяйственного ведения для ведения уставной деятельности (в 2013 году закреплено имущество на сумму 99 млн. руб.);  </w:t>
      </w:r>
    </w:p>
    <w:p w:rsidR="00B157EF" w:rsidRPr="00B157EF" w:rsidRDefault="00B157EF" w:rsidP="00B1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уменьшение стоимости основных фондов организаций муниципальной формы собственности, находящихся в стадии банкротства путем реализации имущества, включенного в конкурсную массу. Количество муниципальных предприятий, находящихся в стадии банкротства, не изменилось</w:t>
      </w:r>
      <w:r w:rsidRPr="00B15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7EF" w:rsidRPr="00B157EF" w:rsidRDefault="00B157E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r w:rsidRPr="00B157E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Объем не завершенного в  установленные сроки строительства, осуществляемого за счет средств бюджета городского округа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за счет бюджета города Пскова в 2013 году не велось.</w:t>
      </w:r>
    </w:p>
    <w:p w:rsidR="00B157EF" w:rsidRPr="00B157EF" w:rsidRDefault="00B157EF" w:rsidP="00B157EF">
      <w:pPr>
        <w:spacing w:after="120" w:line="480" w:lineRule="auto"/>
        <w:ind w:left="28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34. Доля просроченной кредиторской задолженности по оплате труда (включая начисления на оплату труда) муниципальных бюджетных учреждений.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выплачивается своевременно, наличие кредиторской задолженности по оплате труда не допускается.</w:t>
      </w:r>
    </w:p>
    <w:p w:rsidR="00B157EF" w:rsidRPr="00B157EF" w:rsidRDefault="00B157EF" w:rsidP="00B157EF">
      <w:pPr>
        <w:spacing w:after="120" w:line="480" w:lineRule="auto"/>
        <w:ind w:left="28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35. 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расходов в отчетном 2013 году связано с увеличением на 5,5% окладов муниципальных служащих и на 5,5% окладов работников администрации, не замещающих должности муниципальной службы и не являющихся муниципальными служащими. Также увеличился размер ежеквартального денежного поощрения, лицам, замещающим выборные муниципальные должности на 30,0% и размер материальной помощи по высшим должностям муниципальной службы до 8,7 должностных окладов в соответствии с Постановлением Администрации Псковской области от 24.12.2008 № 351 (в ред. от 04.09.2013). Кроме того, при расчете показателя в отчетном периоде в соответствии с инструкцией к форме №1-МБ в состав показателя включены расходы на "прочие выплаты" такие как </w:t>
      </w:r>
      <w:proofErr w:type="gram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proofErr w:type="gram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санаторно-курортное лечение, суточные при командировках и т.п. (ранее не учитывались) и оплату труда за счет средств на исполнение переданных государственных полномочий. В соответствии с вышеуказанными изменениями увеличились и плановые показатели на 2014 год. В плановом периоде расходы сохранены на уровне 2014 года.</w:t>
      </w:r>
    </w:p>
    <w:p w:rsidR="00B157EF" w:rsidRPr="00B157EF" w:rsidRDefault="00B157EF" w:rsidP="00B157E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  <w:r w:rsidRPr="00B157E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Наличие в городском округе утвержденного генерального плана городского округа (схемы территориального планирования муниципального района)</w:t>
      </w: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Псковской городской Думы от 19 февраля 2010 года № 1125 утвержден Генеральный план муниципального образования «Город Псков».  Согласно ст. 26 Градостроительного кодекса РФ разработан План реализации Генерального плана  муниципального образования «Город Псков».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Удовлетворенность населения деятельностью органов местного самоуправления городского округа 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соответствии с Инструкцией Министерства регионального развития РФ </w:t>
      </w:r>
      <w:proofErr w:type="spellStart"/>
      <w:proofErr w:type="gram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источ-ником</w:t>
      </w:r>
      <w:proofErr w:type="spellEnd"/>
      <w:proofErr w:type="gram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является орган исполнительной власти субъекта РФ</w:t>
      </w:r>
    </w:p>
    <w:p w:rsidR="00B157EF" w:rsidRPr="00B157EF" w:rsidRDefault="00B157EF" w:rsidP="00B157EF">
      <w:pPr>
        <w:spacing w:after="0" w:line="240" w:lineRule="auto"/>
        <w:ind w:right="67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Среднегодовая численность постоянного населения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Инструкцией Министерства регионального развития РФ источником информации является Росстат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</w:p>
    <w:p w:rsidR="00B157EF" w:rsidRPr="00B157EF" w:rsidRDefault="00B157EF" w:rsidP="00B157E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Удельная величина потребления энергетических ресурсов в многоквартирных домах</w:t>
      </w:r>
    </w:p>
    <w:p w:rsidR="00B157EF" w:rsidRPr="00B157EF" w:rsidRDefault="00B157EF" w:rsidP="00B157E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аномально теплым зимним периодом 2013-2014 гг. удельная величина потребления тепловой энергии в 2013 году не превышает месячную норму потребления тепловой энергии. В плановом периоде во внимание принимается ранее сложившаяся температура отопительного сезона из высоких отрицательных температур, в </w:t>
      </w:r>
      <w:proofErr w:type="gram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удельная величина потребления тепловой энергии может возрастать.</w:t>
      </w:r>
    </w:p>
    <w:p w:rsidR="00B157EF" w:rsidRPr="00B157EF" w:rsidRDefault="00B157EF" w:rsidP="00B157E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РФ» увеличивается количество устанавливаемых приборов учета коммунальных ресурсов.</w:t>
      </w:r>
    </w:p>
    <w:p w:rsidR="00B157EF" w:rsidRPr="00B157EF" w:rsidRDefault="00B157EF" w:rsidP="00B157E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За счет установки общедомовых и индивидуальных счетчиков потребления коммунальных ресурсов идет тенденция уменьшения потребления коммунальных ресурсов.</w:t>
      </w:r>
    </w:p>
    <w:p w:rsidR="00B157EF" w:rsidRPr="00B157EF" w:rsidRDefault="00B157EF" w:rsidP="00B15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40. </w:t>
      </w:r>
      <w:r w:rsidRPr="00B1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Удельная величина потребления энергетических ресурсов (электрическая и тепловая энергия, вода, природный газ) муниципальными бюджетными учреждениями.</w:t>
      </w:r>
    </w:p>
    <w:p w:rsidR="00B157EF" w:rsidRPr="00B157EF" w:rsidRDefault="00B157EF" w:rsidP="00B1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удельных величин потребления энергетических ресурсов учреждениями связано с проведением ими мероприятий по энергосбережению (оформление энергетических паспортов, установка приборов учета тепловой энергии, в отдельных учреждениях образования по предписаниям </w:t>
      </w:r>
      <w:proofErr w:type="spell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замена ламп накаливания </w:t>
      </w:r>
      <w:proofErr w:type="gramStart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1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энергосберегающие). Кроме того, в период 2012-2013 года проводились плановые и аварийные работы по ремонту инженерных сетей, что приводит к снижению числа аварийных ситуаций, вызывающих чрезмерный расход энергоресурсов (протечки, прорывы и т.п.). Потребление энергоресурсов в текущем году и плановом периоде 2015-2016 года запланировано на уровне 2013 года.</w:t>
      </w:r>
    </w:p>
    <w:p w:rsidR="00B157EF" w:rsidRPr="00B157EF" w:rsidRDefault="00B157EF" w:rsidP="00B157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7EF" w:rsidRPr="00B157EF" w:rsidRDefault="00B157EF" w:rsidP="00B1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0A7" w:rsidRDefault="00BF50A7"/>
    <w:p w:rsidR="00B157EF" w:rsidRDefault="00B157EF"/>
    <w:p w:rsidR="00B157EF" w:rsidRDefault="00B157EF"/>
    <w:p w:rsidR="00B157EF" w:rsidRDefault="00B157EF"/>
    <w:p w:rsidR="00B157EF" w:rsidRDefault="00B157EF"/>
    <w:p w:rsidR="00B157EF" w:rsidRDefault="00B157EF"/>
    <w:p w:rsidR="00B157EF" w:rsidRDefault="00B157EF"/>
    <w:p w:rsidR="00B157EF" w:rsidRDefault="00B157EF"/>
    <w:p w:rsidR="00B157EF" w:rsidRDefault="00B157EF"/>
    <w:p w:rsidR="00B157EF" w:rsidRDefault="00B157EF"/>
    <w:p w:rsidR="00B157EF" w:rsidRDefault="00B157EF"/>
    <w:p w:rsidR="00B157EF" w:rsidRDefault="00B157EF"/>
    <w:p w:rsidR="00B157EF" w:rsidRDefault="00B157EF"/>
    <w:p w:rsidR="00B157EF" w:rsidRDefault="00B157EF"/>
    <w:p w:rsidR="00B157EF" w:rsidRDefault="00B157EF"/>
    <w:p w:rsidR="00B157EF" w:rsidRDefault="00B157EF"/>
    <w:p w:rsidR="00B157EF" w:rsidRDefault="00B157EF"/>
    <w:p w:rsidR="00B157EF" w:rsidRDefault="00B157EF"/>
    <w:p w:rsidR="00B157EF" w:rsidRDefault="00B157EF"/>
    <w:p w:rsidR="00B157EF" w:rsidRDefault="00B157EF">
      <w:pPr>
        <w:sectPr w:rsidR="00B157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3437"/>
        <w:gridCol w:w="1351"/>
        <w:gridCol w:w="1254"/>
        <w:gridCol w:w="25"/>
        <w:gridCol w:w="1234"/>
        <w:gridCol w:w="26"/>
        <w:gridCol w:w="1113"/>
        <w:gridCol w:w="26"/>
        <w:gridCol w:w="1015"/>
        <w:gridCol w:w="28"/>
        <w:gridCol w:w="1063"/>
        <w:gridCol w:w="23"/>
        <w:gridCol w:w="1049"/>
        <w:gridCol w:w="30"/>
        <w:gridCol w:w="2500"/>
        <w:gridCol w:w="27"/>
      </w:tblGrid>
      <w:tr w:rsidR="00B157EF" w:rsidRPr="00B157EF" w:rsidTr="00421F9D">
        <w:trPr>
          <w:gridAfter w:val="1"/>
          <w:wAfter w:w="29" w:type="dxa"/>
          <w:trHeight w:val="529"/>
          <w:tblHeader/>
        </w:trPr>
        <w:tc>
          <w:tcPr>
            <w:tcW w:w="604" w:type="dxa"/>
            <w:vMerge w:val="restart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vMerge w:val="restart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Единица измерения</w:t>
            </w:r>
          </w:p>
        </w:tc>
        <w:tc>
          <w:tcPr>
            <w:tcW w:w="7167" w:type="dxa"/>
            <w:gridSpan w:val="11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Отчетная информация</w:t>
            </w:r>
          </w:p>
        </w:tc>
        <w:tc>
          <w:tcPr>
            <w:tcW w:w="2530" w:type="dxa"/>
            <w:gridSpan w:val="2"/>
            <w:vMerge w:val="restart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B157EF" w:rsidRPr="00B157EF" w:rsidTr="00421F9D">
        <w:trPr>
          <w:gridAfter w:val="1"/>
          <w:wAfter w:w="29" w:type="dxa"/>
          <w:trHeight w:val="366"/>
          <w:tblHeader/>
        </w:trPr>
        <w:tc>
          <w:tcPr>
            <w:tcW w:w="604" w:type="dxa"/>
            <w:vMerge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2011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2012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2013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2014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2015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B157EF" w:rsidRPr="00B157EF" w:rsidRDefault="00B157EF" w:rsidP="00B157EF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2016</w:t>
            </w:r>
          </w:p>
        </w:tc>
        <w:tc>
          <w:tcPr>
            <w:tcW w:w="2530" w:type="dxa"/>
            <w:gridSpan w:val="2"/>
            <w:vMerge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15352" w:type="dxa"/>
            <w:gridSpan w:val="17"/>
            <w:shd w:val="clear" w:color="auto" w:fill="auto"/>
          </w:tcPr>
          <w:p w:rsidR="00B157EF" w:rsidRPr="00B157EF" w:rsidRDefault="00B157EF" w:rsidP="00B157EF">
            <w:pPr>
              <w:tabs>
                <w:tab w:val="left" w:pos="5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Экономическое развитие</w:t>
            </w: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субъектов малого и среднего  предпринимательства  в расчете на 10 тыс. человек населения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399,2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399,2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399,2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399,2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399,2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399,2</w:t>
            </w:r>
          </w:p>
        </w:tc>
        <w:tc>
          <w:tcPr>
            <w:tcW w:w="2529" w:type="dxa"/>
            <w:gridSpan w:val="2"/>
            <w:vMerge w:val="restart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рассчитывается один раз в 5 лет на основании данных сплошного наблюдения за деятельностью субъектов малого и среднего предпринимательства. Последнее наблюдение проводилось в 2010 году. </w:t>
            </w:r>
          </w:p>
        </w:tc>
      </w:tr>
      <w:tr w:rsidR="00B157EF" w:rsidRPr="00B157EF" w:rsidTr="00421F9D">
        <w:trPr>
          <w:trHeight w:val="1995"/>
        </w:trPr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2529" w:type="dxa"/>
            <w:gridSpan w:val="2"/>
            <w:vMerge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 инвестиций в основной капитал </w:t>
            </w:r>
            <w:proofErr w:type="gramStart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бюджетных средств) в расчете на 1 жителя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29431,1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27475,1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17684,6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Инструкцией Министерства регионального развития РФ источником </w:t>
            </w:r>
            <w:proofErr w:type="spellStart"/>
            <w:proofErr w:type="gramStart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инфор-мации</w:t>
            </w:r>
            <w:proofErr w:type="spellEnd"/>
            <w:proofErr w:type="gramEnd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Росстат (форма федерального статистического наблюдения № П-2)</w:t>
            </w: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земельных участков, являющихся объектами налогооб</w:t>
            </w: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ложения земельным налогом, в общей </w:t>
            </w: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площади территории город</w:t>
            </w: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ского округа 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B157EF" w:rsidRPr="00B157EF" w:rsidRDefault="00B157EF" w:rsidP="00B157E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прибыльных сельскохозяйственных </w:t>
            </w:r>
            <w:proofErr w:type="gramStart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их числе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75,78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80,03</w:t>
            </w: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</w:t>
            </w: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округа, в общей численности населе</w:t>
            </w: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городского округа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</w:t>
            </w: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численная заработная плата работ</w:t>
            </w: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ников: 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B157EF" w:rsidRPr="00B157EF" w:rsidRDefault="00B157EF" w:rsidP="00B157EF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крупных и средних предприятий и некоммерческих организаций городского округа 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20070,2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23402,0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25516,6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28043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31409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35178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B157EF" w:rsidRPr="00B157EF" w:rsidRDefault="00B157EF" w:rsidP="00B157EF">
            <w:pPr>
              <w:spacing w:after="0" w:line="240" w:lineRule="auto"/>
              <w:ind w:left="175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 дошко</w:t>
            </w: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льных  образовательных учреждений 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8751,4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10211,2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13320,5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15983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16782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17622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rPr>
          <w:trHeight w:val="854"/>
        </w:trPr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муниципальных общеобразовательных учреждений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14199,1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16301,1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19909,7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20905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21950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22796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учителей муниципальных общеобразовательных учреждений 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15319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18335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22037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23199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24468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27670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left="175" w:right="-4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муниципальных учреждений культуры и искусства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8468,9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11044,6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12576,6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13985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19566,6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24237,9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left="175" w:right="-4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муниципальных учреждений физической культуры и спорта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10242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12590,6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13110,5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rPr>
          <w:trHeight w:val="403"/>
        </w:trPr>
        <w:tc>
          <w:tcPr>
            <w:tcW w:w="15352" w:type="dxa"/>
            <w:gridSpan w:val="17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B157EF" w:rsidRPr="00B157EF" w:rsidRDefault="00B157EF" w:rsidP="00B157E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72,1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70,7 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73,6 </w:t>
            </w: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Доля детей в возрасте 1-6 лет, состоящих на учете для определения в муниципальные дошкольные образовательные учреждения, в  общей  численности детей в возрасте 1-6 лет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Доля муниципальных дошкольных образовательных учреждений, здания которых </w:t>
            </w: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Дефектные ведомости имеют два ДОУ (№ 7 и № 49)</w:t>
            </w:r>
          </w:p>
        </w:tc>
      </w:tr>
      <w:tr w:rsidR="00B157EF" w:rsidRPr="00B157EF" w:rsidTr="00421F9D">
        <w:trPr>
          <w:trHeight w:val="256"/>
        </w:trPr>
        <w:tc>
          <w:tcPr>
            <w:tcW w:w="15352" w:type="dxa"/>
            <w:gridSpan w:val="17"/>
            <w:shd w:val="clear" w:color="auto" w:fill="auto"/>
          </w:tcPr>
          <w:p w:rsidR="00B157EF" w:rsidRPr="00B157EF" w:rsidRDefault="00B157EF" w:rsidP="00B157EF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Общее и дополнительное образование</w:t>
            </w: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53" w:type="dxa"/>
            <w:shd w:val="clear" w:color="auto" w:fill="auto"/>
            <w:vAlign w:val="bottom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</w:t>
            </w:r>
            <w:proofErr w:type="gramStart"/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 общей численности   выпускников муниципальных  общеобразовательных  учреждений, участвовавших в едином государственном экзамене по данным предметам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значение показателя влияет число </w:t>
            </w:r>
            <w:proofErr w:type="gramStart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  <w:proofErr w:type="gramEnd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сдавших экзамен из числа выпускников вечерней школы (47 человек из 59 чел.)</w:t>
            </w: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 в общей численности   выпускников муниципальных  общеобразовательных  учреждений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значение показателя влияет число </w:t>
            </w:r>
            <w:proofErr w:type="gramStart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  <w:proofErr w:type="gramEnd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сдавших экзамен из числа выпускников вечерней школы (47 человек из 59 чел.)</w:t>
            </w: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Доля муниципальных общеобразовательных учреждений, соответствующих </w:t>
            </w: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современным требованиям обучения, в общем количестве</w:t>
            </w: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общеобразовательных учреждений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</w:t>
            </w: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муниципальных общеобразовательных учреждений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 на капитальный ремонт МАУО «Средняя общеобразовательная школа № 47»</w:t>
            </w: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Доля детей первой и второй групп здоровья в общей </w:t>
            </w:r>
            <w:proofErr w:type="gramStart"/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увеличением рождаемости  (увеличивается количество детей обучающихся в начальных классах) и отсутствием строительства новых школ, растёт количество детей занимающихся во вторую смену, </w:t>
            </w: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особенно в школах  района </w:t>
            </w:r>
            <w:proofErr w:type="spellStart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Завеличье</w:t>
            </w:r>
            <w:proofErr w:type="spellEnd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ведётся интенсивное строительство жилых домов.</w:t>
            </w: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показателя в отчетном периоде обусловлено изменениями в расчете показателя. Согласно инструкции Министерства регионального развития при расчете учитывается объем расходов бюджета на общее образование (без фонда оплаты труда) </w:t>
            </w:r>
            <w:proofErr w:type="gramStart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подраздела</w:t>
            </w:r>
            <w:proofErr w:type="gramEnd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0702 "Общее образование" бюджета. В предшествующие периоды кроме подраздела 0702 учитывались и расходы по подразделу 0709 "Другие вопросы в области образования".</w:t>
            </w: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Доля детей в возрасте 5-18 лет, получающих услуги по дополнительному </w:t>
            </w: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образованию в организациях различной организационно-правовой формы и формы собственности </w:t>
            </w:r>
            <w:r w:rsidRPr="00B157E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общей численности детей данной возрастной группы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rPr>
          <w:trHeight w:val="346"/>
        </w:trPr>
        <w:tc>
          <w:tcPr>
            <w:tcW w:w="15352" w:type="dxa"/>
            <w:gridSpan w:val="17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клубами и учреждениями     </w:t>
            </w:r>
          </w:p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клубного типа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rPr>
          <w:trHeight w:val="659"/>
        </w:trPr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библиотеками               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парками культуры и отдыха  </w:t>
            </w:r>
          </w:p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  <w:p w:rsidR="00B157EF" w:rsidRPr="00B157EF" w:rsidRDefault="00B157EF" w:rsidP="00B1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</w:t>
            </w: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количестве объектов культурного</w:t>
            </w: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наследия, находящихся в муниципальной собственности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rPr>
          <w:trHeight w:val="439"/>
        </w:trPr>
        <w:tc>
          <w:tcPr>
            <w:tcW w:w="15352" w:type="dxa"/>
            <w:gridSpan w:val="17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lastRenderedPageBreak/>
              <w:t xml:space="preserve"> Ф</w:t>
            </w:r>
            <w:r w:rsidRPr="00B15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изическая культура и спорт</w:t>
            </w: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Доля населения, систематически </w:t>
            </w:r>
            <w:proofErr w:type="gramStart"/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rPr>
          <w:trHeight w:val="375"/>
        </w:trPr>
        <w:tc>
          <w:tcPr>
            <w:tcW w:w="15352" w:type="dxa"/>
            <w:gridSpan w:val="17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строительство и обеспечение граждан жильем</w:t>
            </w: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 - всего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left="283"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введенная</w:t>
            </w:r>
            <w:proofErr w:type="gramEnd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дейст</w:t>
            </w: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вие за год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земельных     участков, </w:t>
            </w:r>
          </w:p>
          <w:p w:rsidR="00B157EF" w:rsidRPr="00B157EF" w:rsidRDefault="00B157EF" w:rsidP="00B157E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предоставленных для строительства в расчете на 10 тыс. человек населения, - всего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гектаров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 том числе земельных участков, предоставленных для жилищного строительства, индивидуального  строительства и комплексного освоения в целях жилищного строительства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гектаров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57EF" w:rsidRPr="00B157EF" w:rsidTr="00421F9D">
        <w:trPr>
          <w:trHeight w:val="2819"/>
        </w:trPr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земельных участков,  предоставленных для  строительства, в отношении  которых </w:t>
            </w:r>
            <w:proofErr w:type="gramStart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о предоставлении  земельного участка или подписания протокола о результатах торгов (конкурсов, аукционов) не было получено разрешение на  ввод в эксплуатацию: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</w:tc>
        <w:tc>
          <w:tcPr>
            <w:tcW w:w="2529" w:type="dxa"/>
            <w:gridSpan w:val="2"/>
            <w:vMerge w:val="restart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данных, т.к. в соответствии с Законом Псковской области от 29.12.2005 «Об отдельных положениях регулирования земельных отношений на территории Псковской области» с 10 апреля 2006 года предоставление земельных участков находится в компетенции Администрации Псковской области.</w:t>
            </w: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жилищного строительства - в течение  3 лет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</w:tc>
        <w:tc>
          <w:tcPr>
            <w:tcW w:w="2529" w:type="dxa"/>
            <w:gridSpan w:val="2"/>
            <w:vMerge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объектов капитального  строительства –  в течение  5 лет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н\д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</w:tc>
        <w:tc>
          <w:tcPr>
            <w:tcW w:w="2529" w:type="dxa"/>
            <w:gridSpan w:val="2"/>
            <w:vMerge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rPr>
          <w:trHeight w:val="280"/>
        </w:trPr>
        <w:tc>
          <w:tcPr>
            <w:tcW w:w="15352" w:type="dxa"/>
            <w:gridSpan w:val="17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5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</w:t>
            </w:r>
            <w:proofErr w:type="spellEnd"/>
            <w:r w:rsidRPr="00B15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коммунальное хозяйство</w:t>
            </w: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 помещений должны выбрать способ управления данными  домами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653" w:type="dxa"/>
            <w:shd w:val="clear" w:color="auto" w:fill="auto"/>
            <w:vAlign w:val="bottom"/>
          </w:tcPr>
          <w:p w:rsidR="00B157EF" w:rsidRPr="00B157EF" w:rsidRDefault="00B157EF" w:rsidP="00B157E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Доля организаций коммунального комплекса, осуществляющих производство </w:t>
            </w: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товаров, оказание услуг по водо-, тепл</w:t>
            </w:r>
            <w:proofErr w:type="gramStart"/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о-</w:t>
            </w:r>
            <w:proofErr w:type="gramEnd"/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газо-, электроснабжению, </w:t>
            </w:r>
            <w:proofErr w:type="spellStart"/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водоотве-дению</w:t>
            </w:r>
            <w:proofErr w:type="spellEnd"/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очистке сточных вод, утилизации (захоронению) ТБО и использующих объекты комму-</w:t>
            </w:r>
            <w:proofErr w:type="spellStart"/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нальной</w:t>
            </w:r>
            <w:proofErr w:type="spellEnd"/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инфраструктуры на праве частной собственности, по договору аренды или концессии, участие субъекта РФ и (или) городского округа в уставном капитале которых составляет не более 25 %, в общем числе организаций коммунального комплекса, осуществляющих свою деятельность на территории городского округа 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81,25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получившего жилые помещения и улучшившего жилищные условия  в отчетном году, в общей численности населения,  состоящего на учете в качестве нуждающегося в  жилых помещениях</w:t>
            </w:r>
            <w:proofErr w:type="gramEnd"/>
          </w:p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rPr>
          <w:trHeight w:val="349"/>
        </w:trPr>
        <w:tc>
          <w:tcPr>
            <w:tcW w:w="15352" w:type="dxa"/>
            <w:gridSpan w:val="17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Организация муниципального управления</w:t>
            </w: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налоговых и неналоговых  доходов местно</w:t>
            </w: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бюджета (за исключением  поступ</w:t>
            </w: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лений налоговых доходов по дополнительным нормативам отчис</w:t>
            </w: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лений) в об</w:t>
            </w: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щем объеме собственных  доходов бюджета МО  </w:t>
            </w:r>
            <w:proofErr w:type="gramStart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субвенций)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7EF" w:rsidRPr="00B157EF" w:rsidRDefault="00B157EF" w:rsidP="00B157E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spellStart"/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роцентов</w:t>
            </w:r>
            <w:proofErr w:type="spellEnd"/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</w:t>
            </w:r>
            <w:proofErr w:type="gramStart"/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 конец года, по полной учетной стоимости)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Объем не завершенного в  установленные сроки строительства, осуществляемого за счет средств бюджета городского округа 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Доля просроченной 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     </w:t>
            </w: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на оплату труда (включая начисления на оплату труда)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 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254,3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319,1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427,5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427,5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427,5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расходов в отчетном 2013 году связано с увеличением на 5,5% окладов муниципальных служащих и на 5,5% окладов работников администрации, не замещающих должности муниципальной службы и не являющихся муниципальными </w:t>
            </w:r>
            <w:proofErr w:type="spellStart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служащими</w:t>
            </w:r>
            <w:proofErr w:type="gramStart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акже</w:t>
            </w:r>
            <w:proofErr w:type="spellEnd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увеличился размер ежеквартального денежного поощрения, лицам, замещающим выборные муниципальные должности на 30,0% и размер материальной помощи по высшим должностям муниципальной службы до 8,7 должностных окладов в соответствии с </w:t>
            </w: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Постановлением Администрации Псковской области от 24.12.2008 № 351 (в ред. от 04.09.2013).</w:t>
            </w: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Наличие в городском округе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да/нет</w:t>
            </w:r>
          </w:p>
          <w:p w:rsidR="00B157EF" w:rsidRPr="00B157EF" w:rsidRDefault="00B157EF" w:rsidP="00B157EF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Удовлетворенность населения деятельностью органов местного самоуправления городского округа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</w:t>
            </w: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н\д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Инструкцией Министерства регионального развития РФ источником информации является Росстат</w:t>
            </w:r>
          </w:p>
        </w:tc>
      </w:tr>
      <w:tr w:rsidR="00B157EF" w:rsidRPr="00B157EF" w:rsidTr="00421F9D">
        <w:trPr>
          <w:trHeight w:val="310"/>
        </w:trPr>
        <w:tc>
          <w:tcPr>
            <w:tcW w:w="15352" w:type="dxa"/>
            <w:gridSpan w:val="17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left="58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rPr>
          <w:trHeight w:val="613"/>
        </w:trPr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электрическая энергия</w:t>
            </w:r>
          </w:p>
          <w:p w:rsidR="00B157EF" w:rsidRPr="00B157EF" w:rsidRDefault="00B157EF" w:rsidP="00B157EF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left="5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кВт* </w:t>
            </w:r>
            <w:proofErr w:type="gramStart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</w:t>
            </w:r>
            <w:proofErr w:type="spellStart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</w:t>
            </w:r>
            <w:proofErr w:type="spellEnd"/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804,4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756,9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761,7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766,6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тепловая энергия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left="5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Гкал на 1 кв. м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0,139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0,1548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горячая вода</w:t>
            </w:r>
          </w:p>
          <w:p w:rsidR="00B157EF" w:rsidRPr="00B157EF" w:rsidRDefault="00B157EF" w:rsidP="00B157EF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left="5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куб. м на 1 </w:t>
            </w:r>
            <w:proofErr w:type="spellStart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</w:t>
            </w:r>
            <w:proofErr w:type="spellEnd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34,32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32,43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31,63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холодная вода</w:t>
            </w:r>
          </w:p>
          <w:p w:rsidR="00B157EF" w:rsidRPr="00B157EF" w:rsidRDefault="00B157EF" w:rsidP="00B157EF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left="58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“ 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природный газ</w:t>
            </w:r>
          </w:p>
          <w:p w:rsidR="00B157EF" w:rsidRPr="00B157EF" w:rsidRDefault="00B157EF" w:rsidP="00B157EF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left="58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“ 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представлена «Газпром </w:t>
            </w:r>
            <w:proofErr w:type="spellStart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Межрегионгаз</w:t>
            </w:r>
            <w:proofErr w:type="spellEnd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Псков»</w:t>
            </w:r>
          </w:p>
        </w:tc>
      </w:tr>
      <w:tr w:rsidR="00B157EF" w:rsidRPr="00B157EF" w:rsidTr="00421F9D">
        <w:tc>
          <w:tcPr>
            <w:tcW w:w="604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653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369" w:type="dxa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ind w:left="58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gridSpan w:val="2"/>
            <w:shd w:val="clear" w:color="auto" w:fill="auto"/>
          </w:tcPr>
          <w:p w:rsidR="00B157EF" w:rsidRPr="00B157EF" w:rsidRDefault="00B157EF" w:rsidP="00B1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удельных величин потребления энергетических ресурсов учреждениями связано с проведением ими мероприятий по энергосбережению (оформление энергетических паспортов, установка приборов учета тепловой энергии, в отдельных учреждениях образования по предписаниям </w:t>
            </w:r>
            <w:proofErr w:type="spellStart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замена ламп накаливания </w:t>
            </w:r>
            <w:proofErr w:type="gramStart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1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энергосберегающие).</w:t>
            </w:r>
          </w:p>
        </w:tc>
      </w:tr>
    </w:tbl>
    <w:p w:rsidR="00B157EF" w:rsidRDefault="00B157EF"/>
    <w:sectPr w:rsidR="00B157EF" w:rsidSect="00B157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86"/>
    <w:rsid w:val="00760BB8"/>
    <w:rsid w:val="00A14286"/>
    <w:rsid w:val="00B157EF"/>
    <w:rsid w:val="00B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157EF"/>
  </w:style>
  <w:style w:type="table" w:styleId="a3">
    <w:name w:val="Table Grid"/>
    <w:basedOn w:val="a1"/>
    <w:rsid w:val="00B15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157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157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157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57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15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B157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157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15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semiHidden/>
    <w:rsid w:val="00B157EF"/>
    <w:rPr>
      <w:rFonts w:cs="Times New Roman"/>
      <w:color w:val="0000FF"/>
      <w:u w:val="single"/>
    </w:rPr>
  </w:style>
  <w:style w:type="paragraph" w:customStyle="1" w:styleId="Default">
    <w:name w:val="Default"/>
    <w:rsid w:val="00B157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B157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15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157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157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rsid w:val="00B15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B15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B15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B157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157EF"/>
  </w:style>
  <w:style w:type="table" w:styleId="a3">
    <w:name w:val="Table Grid"/>
    <w:basedOn w:val="a1"/>
    <w:rsid w:val="00B15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157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157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157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57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15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B157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157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15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semiHidden/>
    <w:rsid w:val="00B157EF"/>
    <w:rPr>
      <w:rFonts w:cs="Times New Roman"/>
      <w:color w:val="0000FF"/>
      <w:u w:val="single"/>
    </w:rPr>
  </w:style>
  <w:style w:type="paragraph" w:customStyle="1" w:styleId="Default">
    <w:name w:val="Default"/>
    <w:rsid w:val="00B157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B157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15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157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157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rsid w:val="00B15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B15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B15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B157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vet.pskovtel.ru/pskov?doc&amp;nd=924018654&amp;nh=1&amp;c=%CF%C5%D0%C5%D1%C5%CB%C5%CD%C8%C5+%C0%C2%C0%D0%C8%C9%CD%DB%D5+%C4%CE%CC%CE%C2+%C3%D0%C0%C6%C4%C0%CD&amp;spack=111barod%3Dx%5C136;y%5C17%26intelsearch%3D%EF%E5%F0%E5%F1%E5%EB%E5%ED%E8%E5+%E3%F0%E0%E6%E4%E0%ED+%E8%E7+%E0%E2%E0%F0%E8%E9%ED%FB%F5+%E4%EE%EC%EE%E2%26listid%3D010000000100%26listpos%3D4%26lsz%3D349%26w%3D0;1;2%26whereselect%3D-1%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vet.pskovtel.ru/pskov?doc&amp;nd=924018654&amp;nh=1&amp;c=%CF%C5%D0%C5%D1%C5%CB%C5%CD%C8%C5+%C0%C2%C0%D0%C8%C9%CD%DB%D5+%C4%CE%CC%CE%C2+%C3%D0%C0%C6%C4%C0%CD&amp;spack=111barod%3Dx%5C136;y%5C17%26intelsearch%3D%EF%E5%F0%E5%F1%E5%EB%E5%ED%E8%E5+%E3%F0%E0%E6%E4%E0%ED+%E8%E7+%E0%E2%E0%F0%E8%E9%ED%FB%F5+%E4%EE%EC%EE%E2%26listid%3D010000000100%26listpos%3D4%26lsz%3D349%26w%3D0;1;2%26whereselect%3D-1%26" TargetMode="External"/><Relationship Id="rId5" Type="http://schemas.openxmlformats.org/officeDocument/2006/relationships/hyperlink" Target="http://www.zavet.pskovtel.ru/pskov?doc&amp;nd=924018654&amp;nh=1&amp;c=%CF%C5%D0%C5%D1%C5%CB%C5%CD%C8%C5+%C0%C2%C0%D0%C8%C9%CD%DB%D5+%C4%CE%CC%CE%C2+%C3%D0%C0%C6%C4%C0%CD&amp;spack=111barod%3Dx%5C136;y%5C17%26intelsearch%3D%EF%E5%F0%E5%F1%E5%EB%E5%ED%E8%E5+%E3%F0%E0%E6%E4%E0%ED+%E8%E7+%E0%E2%E0%F0%E8%E9%ED%FB%F5+%E4%EE%EC%EE%E2%26listid%3D010000000100%26listpos%3D4%26lsz%3D349%26w%3D0;1;2%26whereselect%3D-1%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6929</Words>
  <Characters>39500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Олеговна</dc:creator>
  <cp:lastModifiedBy>Викторова Анастасия Олеговна</cp:lastModifiedBy>
  <cp:revision>3</cp:revision>
  <cp:lastPrinted>2014-05-13T11:37:00Z</cp:lastPrinted>
  <dcterms:created xsi:type="dcterms:W3CDTF">2014-05-13T11:35:00Z</dcterms:created>
  <dcterms:modified xsi:type="dcterms:W3CDTF">2014-05-13T11:37:00Z</dcterms:modified>
</cp:coreProperties>
</file>